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46F4E">
      <w:pPr>
        <w:pStyle w:val="3"/>
        <w:spacing w:line="400" w:lineRule="exact"/>
        <w:ind w:firstLine="0" w:firstLineChars="0"/>
        <w:rPr>
          <w:rFonts w:hint="eastAsia" w:ascii="楷体_GB2312" w:hAnsi="宋体" w:eastAsia="楷体_GB2312"/>
          <w:b/>
          <w:szCs w:val="32"/>
        </w:rPr>
      </w:pPr>
      <w:r>
        <w:rPr>
          <w:rFonts w:hint="eastAsia" w:ascii="楷体_GB2312" w:hAnsi="宋体" w:eastAsia="楷体_GB2312"/>
          <w:b/>
          <w:szCs w:val="32"/>
        </w:rPr>
        <w:t>县十七届人大五次</w:t>
      </w:r>
    </w:p>
    <w:p w14:paraId="5C6F3907">
      <w:pPr>
        <w:pStyle w:val="3"/>
        <w:keepNext w:val="0"/>
        <w:keepLines w:val="0"/>
        <w:pageBreakBefore w:val="0"/>
        <w:widowControl w:val="0"/>
        <w:kinsoku/>
        <w:wordWrap/>
        <w:overflowPunct/>
        <w:topLinePunct w:val="0"/>
        <w:bidi w:val="0"/>
        <w:snapToGrid/>
        <w:spacing w:line="480" w:lineRule="exact"/>
        <w:ind w:left="0" w:leftChars="0" w:right="0" w:rightChars="0" w:firstLine="0" w:firstLineChars="0"/>
        <w:textAlignment w:val="auto"/>
        <w:outlineLvl w:val="9"/>
        <w:rPr>
          <w:rFonts w:ascii="楷体_GB2312" w:eastAsia="楷体_GB2312"/>
          <w:b/>
          <w:spacing w:val="-10"/>
          <w:szCs w:val="32"/>
          <w:highlight w:val="none"/>
        </w:rPr>
      </w:pPr>
      <w:r>
        <w:rPr>
          <w:rFonts w:hint="eastAsia" w:ascii="楷体_GB2312" w:hAnsi="宋体" w:eastAsia="楷体_GB2312"/>
          <w:b/>
          <w:spacing w:val="-10"/>
          <w:szCs w:val="32"/>
        </w:rPr>
        <w:t>会议文件(二十一)</w:t>
      </w:r>
    </w:p>
    <w:p w14:paraId="0B06C5AB">
      <w:pPr>
        <w:keepNext w:val="0"/>
        <w:keepLines w:val="0"/>
        <w:pageBreakBefore w:val="0"/>
        <w:widowControl w:val="0"/>
        <w:kinsoku/>
        <w:wordWrap/>
        <w:overflowPunct/>
        <w:topLinePunct w:val="0"/>
        <w:bidi w:val="0"/>
        <w:snapToGrid/>
        <w:spacing w:line="480" w:lineRule="exact"/>
        <w:ind w:left="0" w:leftChars="0" w:right="0" w:rightChars="0"/>
        <w:textAlignment w:val="auto"/>
        <w:outlineLvl w:val="9"/>
        <w:rPr>
          <w:rFonts w:ascii="方正小标宋简体" w:hAnsi="宋体" w:eastAsia="方正小标宋简体" w:cs="宋体"/>
          <w:bCs/>
          <w:kern w:val="0"/>
          <w:sz w:val="30"/>
          <w:szCs w:val="30"/>
        </w:rPr>
      </w:pPr>
    </w:p>
    <w:p w14:paraId="226CC04A">
      <w:pPr>
        <w:keepNext w:val="0"/>
        <w:keepLines w:val="0"/>
        <w:pageBreakBefore w:val="0"/>
        <w:widowControl w:val="0"/>
        <w:kinsoku/>
        <w:wordWrap/>
        <w:overflowPunct/>
        <w:topLinePunct w:val="0"/>
        <w:bidi w:val="0"/>
        <w:snapToGrid/>
        <w:spacing w:line="480" w:lineRule="exact"/>
        <w:ind w:left="0" w:leftChars="0" w:right="0" w:rightChars="0"/>
        <w:jc w:val="center"/>
        <w:textAlignment w:val="auto"/>
        <w:outlineLvl w:val="9"/>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新干县人民检察院工作报告</w:t>
      </w:r>
    </w:p>
    <w:p w14:paraId="3309FC61">
      <w:pPr>
        <w:keepNext w:val="0"/>
        <w:keepLines w:val="0"/>
        <w:pageBreakBefore w:val="0"/>
        <w:widowControl w:val="0"/>
        <w:kinsoku/>
        <w:wordWrap/>
        <w:overflowPunct/>
        <w:topLinePunct w:val="0"/>
        <w:bidi w:val="0"/>
        <w:snapToGrid/>
        <w:spacing w:line="480" w:lineRule="exact"/>
        <w:ind w:left="0" w:leftChars="0" w:right="0" w:rightChars="0"/>
        <w:jc w:val="center"/>
        <w:textAlignment w:val="auto"/>
        <w:outlineLvl w:val="9"/>
        <w:rPr>
          <w:rFonts w:ascii="仿宋_GB2312" w:eastAsia="仿宋_GB2312"/>
          <w:b/>
          <w:spacing w:val="-8"/>
          <w:sz w:val="36"/>
          <w:szCs w:val="36"/>
        </w:rPr>
      </w:pPr>
    </w:p>
    <w:p w14:paraId="22381E22">
      <w:pPr>
        <w:spacing w:before="312" w:beforeLines="100" w:line="520" w:lineRule="exact"/>
        <w:jc w:val="center"/>
        <w:rPr>
          <w:rFonts w:hint="eastAsia" w:ascii="楷体_GB2312" w:hAnsi="宋体" w:eastAsia="楷体_GB2312"/>
          <w:color w:val="000000"/>
          <w:sz w:val="32"/>
          <w:szCs w:val="32"/>
        </w:rPr>
      </w:pPr>
      <w:r>
        <w:rPr>
          <w:rFonts w:hint="eastAsia" w:ascii="楷体_GB2312" w:hAnsi="宋体" w:eastAsia="楷体_GB2312"/>
          <w:color w:val="000000"/>
          <w:sz w:val="32"/>
          <w:szCs w:val="32"/>
        </w:rPr>
        <w:t>——2020年5月14日在新干县第十七届</w:t>
      </w:r>
    </w:p>
    <w:p w14:paraId="1162F382">
      <w:pPr>
        <w:spacing w:line="520" w:lineRule="exact"/>
        <w:jc w:val="center"/>
        <w:rPr>
          <w:rFonts w:hint="eastAsia" w:ascii="楷体_GB2312" w:hAnsi="宋体" w:eastAsia="楷体_GB2312"/>
          <w:color w:val="000000"/>
          <w:sz w:val="32"/>
          <w:szCs w:val="32"/>
        </w:rPr>
      </w:pPr>
      <w:r>
        <w:rPr>
          <w:rFonts w:hint="eastAsia" w:ascii="楷体_GB2312" w:hAnsi="宋体" w:eastAsia="楷体_GB2312"/>
          <w:color w:val="000000"/>
          <w:sz w:val="32"/>
          <w:szCs w:val="32"/>
        </w:rPr>
        <w:t>人民代表大会第五次会议上</w:t>
      </w:r>
    </w:p>
    <w:p w14:paraId="6518420E">
      <w:pPr>
        <w:pStyle w:val="3"/>
        <w:ind w:firstLine="0" w:firstLineChars="0"/>
        <w:jc w:val="center"/>
        <w:rPr>
          <w:rFonts w:hint="eastAsia" w:ascii="楷体_GB2312" w:hAnsi="宋体" w:eastAsia="楷体_GB2312" w:cs="宋体"/>
          <w:kern w:val="0"/>
          <w:szCs w:val="32"/>
        </w:rPr>
      </w:pPr>
    </w:p>
    <w:p w14:paraId="5D4DADFF">
      <w:pPr>
        <w:pStyle w:val="3"/>
        <w:keepNext w:val="0"/>
        <w:keepLines w:val="0"/>
        <w:pageBreakBefore w:val="0"/>
        <w:widowControl w:val="0"/>
        <w:kinsoku/>
        <w:wordWrap/>
        <w:overflowPunct/>
        <w:topLinePunct w:val="0"/>
        <w:bidi w:val="0"/>
        <w:snapToGrid/>
        <w:spacing w:line="480" w:lineRule="exact"/>
        <w:ind w:left="0" w:leftChars="0" w:right="0" w:rightChars="0" w:firstLine="0" w:firstLineChars="0"/>
        <w:jc w:val="center"/>
        <w:textAlignment w:val="auto"/>
        <w:outlineLvl w:val="9"/>
        <w:rPr>
          <w:rFonts w:ascii="楷体_GB2312" w:hAnsi="宋体" w:eastAsia="楷体_GB2312" w:cs="宋体"/>
          <w:kern w:val="0"/>
          <w:szCs w:val="32"/>
        </w:rPr>
      </w:pPr>
      <w:r>
        <w:rPr>
          <w:rFonts w:hint="eastAsia" w:ascii="楷体_GB2312" w:hAnsi="宋体" w:eastAsia="楷体_GB2312" w:cs="宋体"/>
          <w:kern w:val="0"/>
          <w:szCs w:val="32"/>
        </w:rPr>
        <w:t>县人民检察院检察长   刘崇幼</w:t>
      </w:r>
    </w:p>
    <w:p w14:paraId="64337F1E">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outlineLvl w:val="9"/>
        <w:rPr>
          <w:rFonts w:ascii="仿宋_GB2312" w:hAnsi="仿宋_GB2312" w:eastAsia="仿宋_GB2312" w:cs="仿宋_GB2312"/>
          <w:kern w:val="0"/>
          <w:sz w:val="32"/>
          <w:szCs w:val="32"/>
        </w:rPr>
      </w:pPr>
    </w:p>
    <w:p w14:paraId="02283169">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textAlignment w:val="auto"/>
        <w:outlineLvl w:val="9"/>
        <w:rPr>
          <w:rFonts w:ascii="仿宋_GB2312" w:hAnsi="Calibri" w:eastAsia="仿宋_GB2312"/>
          <w:color w:val="000000"/>
          <w:sz w:val="32"/>
          <w:szCs w:val="32"/>
        </w:rPr>
      </w:pPr>
      <w:r>
        <w:rPr>
          <w:rFonts w:hint="eastAsia" w:ascii="仿宋_GB2312" w:hAnsi="Calibri" w:eastAsia="仿宋_GB2312"/>
          <w:color w:val="000000"/>
          <w:sz w:val="32"/>
          <w:szCs w:val="32"/>
        </w:rPr>
        <w:t>各位代表：</w:t>
      </w:r>
    </w:p>
    <w:p w14:paraId="5FB7BB6E">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outlineLvl w:val="9"/>
        <w:rPr>
          <w:rFonts w:ascii="仿宋_GB2312" w:hAnsi="Calibri" w:eastAsia="仿宋_GB2312"/>
          <w:color w:val="000000"/>
          <w:sz w:val="32"/>
          <w:szCs w:val="32"/>
        </w:rPr>
      </w:pPr>
      <w:r>
        <w:rPr>
          <w:rFonts w:hint="eastAsia" w:ascii="仿宋_GB2312" w:hAnsi="Calibri" w:eastAsia="仿宋_GB2312"/>
          <w:color w:val="000000"/>
          <w:sz w:val="32"/>
          <w:szCs w:val="32"/>
        </w:rPr>
        <w:t>现在</w:t>
      </w:r>
      <w:r>
        <w:rPr>
          <w:rFonts w:ascii="仿宋_GB2312" w:hAnsi="Calibri" w:eastAsia="仿宋_GB2312"/>
          <w:color w:val="000000"/>
          <w:sz w:val="32"/>
          <w:szCs w:val="32"/>
        </w:rPr>
        <w:t>,</w:t>
      </w:r>
      <w:r>
        <w:rPr>
          <w:rFonts w:hint="eastAsia" w:ascii="仿宋_GB2312" w:hAnsi="Calibri" w:eastAsia="仿宋_GB2312"/>
          <w:color w:val="000000"/>
          <w:sz w:val="32"/>
          <w:szCs w:val="32"/>
        </w:rPr>
        <w:t>我代表县人民检察院向大会报告工作，请予审议，并请列席会议的同志提出意见。</w:t>
      </w:r>
    </w:p>
    <w:p w14:paraId="6BF2C8F5">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outlineLvl w:val="9"/>
        <w:rPr>
          <w:rFonts w:hint="eastAsia" w:ascii="仿宋_GB2312" w:hAnsi="Calibri" w:eastAsia="仿宋_GB2312"/>
          <w:color w:val="000000"/>
          <w:sz w:val="32"/>
          <w:szCs w:val="32"/>
          <w:lang w:eastAsia="zh-CN"/>
        </w:rPr>
      </w:pPr>
    </w:p>
    <w:p w14:paraId="077CBF10">
      <w:pPr>
        <w:keepNext w:val="0"/>
        <w:keepLines w:val="0"/>
        <w:pageBreakBefore w:val="0"/>
        <w:widowControl w:val="0"/>
        <w:kinsoku/>
        <w:wordWrap/>
        <w:overflowPunct/>
        <w:topLinePunct w:val="0"/>
        <w:bidi w:val="0"/>
        <w:snapToGrid/>
        <w:spacing w:line="480" w:lineRule="exact"/>
        <w:ind w:left="0" w:leftChars="0" w:right="0" w:rightChars="0"/>
        <w:jc w:val="center"/>
        <w:textAlignment w:val="auto"/>
        <w:outlineLvl w:val="9"/>
        <w:rPr>
          <w:rFonts w:ascii="黑体" w:hAnsi="仿宋" w:eastAsia="黑体"/>
          <w:color w:val="000000"/>
          <w:sz w:val="32"/>
          <w:szCs w:val="32"/>
        </w:rPr>
      </w:pPr>
      <w:r>
        <w:rPr>
          <w:rFonts w:hint="eastAsia" w:ascii="黑体" w:hAnsi="仿宋" w:eastAsia="黑体"/>
          <w:color w:val="000000"/>
          <w:sz w:val="32"/>
          <w:szCs w:val="32"/>
        </w:rPr>
        <w:t>201</w:t>
      </w:r>
      <w:r>
        <w:rPr>
          <w:rFonts w:hint="eastAsia" w:ascii="黑体" w:hAnsi="仿宋" w:eastAsia="黑体"/>
          <w:color w:val="000000"/>
          <w:sz w:val="32"/>
          <w:szCs w:val="32"/>
          <w:lang w:val="en-US" w:eastAsia="zh-CN"/>
        </w:rPr>
        <w:t>9</w:t>
      </w:r>
      <w:r>
        <w:rPr>
          <w:rFonts w:hint="eastAsia" w:ascii="黑体" w:hAnsi="仿宋" w:eastAsia="黑体"/>
          <w:color w:val="000000"/>
          <w:sz w:val="32"/>
          <w:szCs w:val="32"/>
        </w:rPr>
        <w:t>年主要工作</w:t>
      </w:r>
    </w:p>
    <w:p w14:paraId="39C52809">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rPr>
          <w:rFonts w:ascii="仿宋_GB2312" w:hAnsi="Calibri" w:eastAsia="仿宋_GB2312"/>
          <w:color w:val="000000"/>
          <w:sz w:val="32"/>
          <w:szCs w:val="32"/>
        </w:rPr>
      </w:pPr>
    </w:p>
    <w:p w14:paraId="46979C44">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rPr>
          <w:rFonts w:ascii="仿宋_GB2312" w:hAnsi="Calibri" w:eastAsia="仿宋_GB2312"/>
          <w:color w:val="000000"/>
          <w:sz w:val="32"/>
          <w:szCs w:val="32"/>
        </w:rPr>
      </w:pPr>
      <w:r>
        <w:rPr>
          <w:rFonts w:hint="eastAsia" w:ascii="仿宋_GB2312" w:hAnsi="Calibri" w:eastAsia="仿宋_GB2312"/>
          <w:color w:val="000000"/>
          <w:sz w:val="32"/>
          <w:szCs w:val="32"/>
        </w:rPr>
        <w:t>2019年</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在县委和上级院的正确领导、县人大及其常委会的有力监督和县政府、县政协及社会各界的关心支持下，</w:t>
      </w:r>
      <w:r>
        <w:rPr>
          <w:rFonts w:hint="eastAsia" w:ascii="仿宋_GB2312" w:hAnsi="Calibri" w:eastAsia="仿宋_GB2312"/>
          <w:color w:val="000000"/>
          <w:sz w:val="32"/>
          <w:szCs w:val="32"/>
          <w:lang w:eastAsia="zh-CN"/>
        </w:rPr>
        <w:t>我院</w:t>
      </w:r>
      <w:r>
        <w:rPr>
          <w:rFonts w:hint="eastAsia" w:ascii="仿宋_GB2312" w:hAnsi="Calibri" w:eastAsia="仿宋_GB2312"/>
          <w:color w:val="000000"/>
          <w:sz w:val="32"/>
          <w:szCs w:val="32"/>
        </w:rPr>
        <w:t>以习近平新时代中国特色社会主义思想为指导，扎实开展“不忘初心、牢记使命”主题教育，深入贯彻“讲政治、顾大局、谋发展、重自强”新时代检察工作总要求，在人员转隶、理念转变、工作转型的形势下，攻坚克难，担当作为，依法履行法律监督职能，</w:t>
      </w:r>
      <w:r>
        <w:rPr>
          <w:rFonts w:hint="eastAsia" w:ascii="仿宋_GB2312" w:hAnsi="Calibri" w:eastAsia="仿宋_GB2312"/>
          <w:color w:val="000000"/>
          <w:sz w:val="32"/>
          <w:szCs w:val="32"/>
          <w:lang w:eastAsia="zh-CN"/>
        </w:rPr>
        <w:t>朝着“工作一流，队伍过硬”的目标奋力迈进，</w:t>
      </w:r>
      <w:r>
        <w:rPr>
          <w:rFonts w:hint="eastAsia" w:ascii="仿宋_GB2312" w:hAnsi="Calibri" w:eastAsia="仿宋_GB2312"/>
          <w:color w:val="000000"/>
          <w:sz w:val="32"/>
          <w:szCs w:val="32"/>
        </w:rPr>
        <w:t>各项工作取得了新的进展</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lang w:val="en-US" w:eastAsia="zh-CN"/>
        </w:rPr>
        <w:t>重点业务数据综合排名位列全市第二</w:t>
      </w:r>
      <w:r>
        <w:rPr>
          <w:rFonts w:hint="eastAsia" w:ascii="仿宋_GB2312" w:hAnsi="Calibri" w:eastAsia="仿宋_GB2312"/>
          <w:color w:val="000000"/>
          <w:sz w:val="32"/>
          <w:szCs w:val="32"/>
        </w:rPr>
        <w:t>。</w:t>
      </w:r>
    </w:p>
    <w:p w14:paraId="04ED56B1">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一、聚焦服务大局，在营造良好发展环境中彰显检察担当</w:t>
      </w:r>
    </w:p>
    <w:p w14:paraId="3ED48E89">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始终把检察工作放在改革发展大局中谋划、推进，紧紧围绕中央、省、市、县重大决策部署，主动服务中心、保障大局</w:t>
      </w:r>
      <w:r>
        <w:rPr>
          <w:rFonts w:hint="eastAsia" w:ascii="仿宋_GB2312" w:hAnsi="Calibri" w:eastAsia="仿宋_GB2312"/>
          <w:color w:val="000000"/>
          <w:sz w:val="32"/>
          <w:szCs w:val="32"/>
          <w:lang w:eastAsia="zh-CN"/>
        </w:rPr>
        <w:t>、同频共振</w:t>
      </w:r>
      <w:r>
        <w:rPr>
          <w:rFonts w:hint="eastAsia" w:ascii="仿宋_GB2312" w:hAnsi="Calibri" w:eastAsia="仿宋_GB2312"/>
          <w:color w:val="000000"/>
          <w:sz w:val="32"/>
          <w:szCs w:val="32"/>
        </w:rPr>
        <w:t>。</w:t>
      </w:r>
    </w:p>
    <w:p w14:paraId="6780C77E">
      <w:pPr>
        <w:keepNext w:val="0"/>
        <w:keepLines w:val="0"/>
        <w:pageBreakBefore w:val="0"/>
        <w:kinsoku/>
        <w:wordWrap/>
        <w:overflowPunct/>
        <w:topLinePunct w:val="0"/>
        <w:bidi w:val="0"/>
        <w:snapToGrid/>
        <w:spacing w:line="480" w:lineRule="exact"/>
        <w:ind w:left="0" w:leftChars="0" w:right="0" w:rightChars="0" w:firstLine="643" w:firstLineChars="200"/>
        <w:textAlignment w:val="auto"/>
        <w:rPr>
          <w:rFonts w:hint="eastAsia" w:ascii="楷体_GB2312" w:eastAsia="楷体_GB2312"/>
          <w:b/>
          <w:bCs/>
          <w:color w:val="000000"/>
          <w:sz w:val="32"/>
          <w:szCs w:val="32"/>
        </w:rPr>
      </w:pPr>
      <w:r>
        <w:rPr>
          <w:rFonts w:hint="eastAsia" w:ascii="楷体_GB2312" w:eastAsia="楷体_GB2312"/>
          <w:b/>
          <w:bCs/>
          <w:color w:val="000000"/>
          <w:sz w:val="32"/>
          <w:szCs w:val="32"/>
        </w:rPr>
        <w:t>深入</w:t>
      </w:r>
      <w:r>
        <w:rPr>
          <w:rFonts w:hint="eastAsia" w:ascii="楷体_GB2312" w:eastAsia="楷体_GB2312"/>
          <w:b/>
          <w:bCs/>
          <w:color w:val="000000"/>
          <w:sz w:val="32"/>
          <w:szCs w:val="32"/>
          <w:lang w:eastAsia="zh-CN"/>
        </w:rPr>
        <w:t>开展</w:t>
      </w:r>
      <w:r>
        <w:rPr>
          <w:rFonts w:hint="eastAsia" w:ascii="楷体_GB2312" w:eastAsia="楷体_GB2312"/>
          <w:b/>
          <w:bCs/>
          <w:color w:val="000000"/>
          <w:sz w:val="32"/>
          <w:szCs w:val="32"/>
        </w:rPr>
        <w:t>扫黑除恶专项斗争。</w:t>
      </w:r>
      <w:r>
        <w:rPr>
          <w:rFonts w:hint="eastAsia" w:ascii="仿宋_GB2312" w:hAnsi="Calibri" w:eastAsia="仿宋_GB2312"/>
          <w:color w:val="000000"/>
          <w:sz w:val="32"/>
          <w:szCs w:val="32"/>
        </w:rPr>
        <w:t>严格执行两高两部《关于办理黑恶势力犯罪案件若干问题的指导意见》等文件精神，在专项斗争中正确把握法律政策界限，把好事实关、证据关、程序关和法律适用关，确保案件质量和效果，同时紧盯涉黑涉恶重大案件、黑恶势力经济基础、背后“关系网”和“保护伞”不放，在打防并举、深挖彻查、标本兼治上下功夫。共</w:t>
      </w:r>
      <w:r>
        <w:rPr>
          <w:rFonts w:hint="eastAsia" w:ascii="仿宋_GB2312" w:hAnsi="Calibri" w:eastAsia="仿宋_GB2312"/>
          <w:color w:val="000000"/>
          <w:sz w:val="32"/>
          <w:szCs w:val="32"/>
          <w:lang w:eastAsia="zh-CN"/>
        </w:rPr>
        <w:t>起诉涉恶</w:t>
      </w:r>
      <w:r>
        <w:rPr>
          <w:rFonts w:hint="eastAsia" w:ascii="仿宋_GB2312" w:hAnsi="Calibri" w:eastAsia="仿宋_GB2312"/>
          <w:color w:val="000000"/>
          <w:sz w:val="32"/>
          <w:szCs w:val="32"/>
          <w:highlight w:val="none"/>
        </w:rPr>
        <w:t>犯罪案件</w:t>
      </w:r>
      <w:r>
        <w:rPr>
          <w:rFonts w:hint="eastAsia" w:ascii="仿宋_GB2312" w:hAnsi="Calibri" w:eastAsia="仿宋_GB2312"/>
          <w:color w:val="000000"/>
          <w:sz w:val="32"/>
          <w:szCs w:val="32"/>
          <w:highlight w:val="none"/>
          <w:lang w:val="en-US" w:eastAsia="zh-CN"/>
        </w:rPr>
        <w:t>8</w:t>
      </w:r>
      <w:r>
        <w:rPr>
          <w:rFonts w:hint="eastAsia" w:ascii="仿宋_GB2312" w:hAnsi="Calibri" w:eastAsia="仿宋_GB2312"/>
          <w:color w:val="000000"/>
          <w:sz w:val="32"/>
          <w:szCs w:val="32"/>
          <w:highlight w:val="none"/>
        </w:rPr>
        <w:t>件</w:t>
      </w:r>
      <w:r>
        <w:rPr>
          <w:rFonts w:hint="eastAsia" w:ascii="仿宋_GB2312" w:hAnsi="Calibri" w:eastAsia="仿宋_GB2312"/>
          <w:color w:val="000000"/>
          <w:sz w:val="32"/>
          <w:szCs w:val="32"/>
          <w:highlight w:val="none"/>
          <w:lang w:val="en-US" w:eastAsia="zh-CN"/>
        </w:rPr>
        <w:t>15</w:t>
      </w:r>
      <w:r>
        <w:rPr>
          <w:rFonts w:hint="eastAsia" w:ascii="仿宋_GB2312" w:hAnsi="Calibri" w:eastAsia="仿宋_GB2312"/>
          <w:color w:val="000000"/>
          <w:sz w:val="32"/>
          <w:szCs w:val="32"/>
          <w:highlight w:val="none"/>
        </w:rPr>
        <w:t>人</w:t>
      </w:r>
      <w:r>
        <w:rPr>
          <w:rFonts w:hint="eastAsia" w:ascii="仿宋_GB2312" w:hAnsi="Calibri" w:eastAsia="仿宋_GB2312"/>
          <w:color w:val="000000"/>
          <w:sz w:val="32"/>
          <w:szCs w:val="32"/>
          <w:highlight w:val="none"/>
          <w:lang w:eastAsia="zh-CN"/>
        </w:rPr>
        <w:t>，均已被一审判决认定</w:t>
      </w:r>
      <w:r>
        <w:rPr>
          <w:rFonts w:hint="eastAsia" w:ascii="仿宋_GB2312" w:hAnsi="Calibri" w:eastAsia="仿宋_GB2312"/>
          <w:color w:val="000000"/>
          <w:sz w:val="32"/>
          <w:szCs w:val="32"/>
          <w:highlight w:val="none"/>
        </w:rPr>
        <w:t>，</w:t>
      </w:r>
      <w:r>
        <w:rPr>
          <w:rFonts w:hint="eastAsia" w:ascii="仿宋_GB2312" w:hAnsi="Calibri" w:eastAsia="仿宋_GB2312"/>
          <w:color w:val="000000"/>
          <w:sz w:val="32"/>
          <w:szCs w:val="32"/>
          <w:highlight w:val="none"/>
          <w:lang w:eastAsia="zh-CN"/>
        </w:rPr>
        <w:t>起诉涉黑犯罪案件</w:t>
      </w:r>
      <w:r>
        <w:rPr>
          <w:rFonts w:hint="eastAsia" w:ascii="仿宋_GB2312" w:hAnsi="Calibri" w:eastAsia="仿宋_GB2312"/>
          <w:color w:val="000000"/>
          <w:sz w:val="32"/>
          <w:szCs w:val="32"/>
          <w:highlight w:val="none"/>
          <w:lang w:val="en-US" w:eastAsia="zh-CN"/>
        </w:rPr>
        <w:t>1</w:t>
      </w:r>
      <w:r>
        <w:rPr>
          <w:rFonts w:hint="eastAsia" w:ascii="仿宋_GB2312" w:hAnsi="Calibri" w:eastAsia="仿宋_GB2312"/>
          <w:color w:val="000000"/>
          <w:sz w:val="32"/>
          <w:szCs w:val="32"/>
          <w:highlight w:val="none"/>
        </w:rPr>
        <w:t>件</w:t>
      </w:r>
      <w:r>
        <w:rPr>
          <w:rFonts w:hint="eastAsia" w:ascii="仿宋_GB2312" w:hAnsi="Calibri" w:eastAsia="仿宋_GB2312"/>
          <w:color w:val="000000"/>
          <w:sz w:val="32"/>
          <w:szCs w:val="32"/>
          <w:highlight w:val="none"/>
          <w:lang w:val="en-US" w:eastAsia="zh-CN"/>
        </w:rPr>
        <w:t>30</w:t>
      </w:r>
      <w:r>
        <w:rPr>
          <w:rFonts w:hint="eastAsia" w:ascii="仿宋_GB2312" w:hAnsi="Calibri" w:eastAsia="仿宋_GB2312"/>
          <w:color w:val="000000"/>
          <w:sz w:val="32"/>
          <w:szCs w:val="32"/>
          <w:highlight w:val="none"/>
        </w:rPr>
        <w:t>人,提前介入引导侦查、固定证据13次，</w:t>
      </w:r>
      <w:r>
        <w:rPr>
          <w:rFonts w:hint="eastAsia" w:ascii="仿宋_GB2312" w:hAnsi="Calibri" w:eastAsia="仿宋_GB2312"/>
          <w:color w:val="000000"/>
          <w:sz w:val="32"/>
          <w:szCs w:val="32"/>
          <w:highlight w:val="none"/>
          <w:lang w:eastAsia="zh-CN"/>
        </w:rPr>
        <w:t>打财断血共计</w:t>
      </w:r>
      <w:r>
        <w:rPr>
          <w:rFonts w:hint="eastAsia" w:ascii="仿宋_GB2312" w:hAnsi="Calibri" w:eastAsia="仿宋_GB2312"/>
          <w:color w:val="000000"/>
          <w:sz w:val="32"/>
          <w:szCs w:val="32"/>
          <w:highlight w:val="none"/>
          <w:lang w:val="en-US" w:eastAsia="zh-CN"/>
        </w:rPr>
        <w:t>3500余万元，</w:t>
      </w:r>
      <w:r>
        <w:rPr>
          <w:rFonts w:hint="eastAsia" w:ascii="仿宋_GB2312" w:hAnsi="Calibri" w:eastAsia="仿宋_GB2312"/>
          <w:color w:val="000000"/>
          <w:sz w:val="32"/>
          <w:szCs w:val="32"/>
          <w:highlight w:val="none"/>
          <w:lang w:eastAsia="zh-CN"/>
        </w:rPr>
        <w:t>审查起诉黑恶势力保护伞</w:t>
      </w:r>
      <w:r>
        <w:rPr>
          <w:rFonts w:hint="eastAsia" w:ascii="仿宋_GB2312" w:hAnsi="Calibri" w:eastAsia="仿宋_GB2312"/>
          <w:color w:val="000000"/>
          <w:sz w:val="32"/>
          <w:szCs w:val="32"/>
          <w:highlight w:val="none"/>
          <w:lang w:val="en-US" w:eastAsia="zh-CN"/>
        </w:rPr>
        <w:t>2件2人</w:t>
      </w:r>
      <w:r>
        <w:rPr>
          <w:rFonts w:hint="eastAsia" w:ascii="仿宋_GB2312" w:hAnsi="Calibri" w:eastAsia="仿宋_GB2312"/>
          <w:color w:val="000000"/>
          <w:sz w:val="32"/>
          <w:szCs w:val="32"/>
        </w:rPr>
        <w:t>。</w:t>
      </w:r>
    </w:p>
    <w:p w14:paraId="198A9D99">
      <w:pPr>
        <w:keepNext w:val="0"/>
        <w:keepLines w:val="0"/>
        <w:pageBreakBefore w:val="0"/>
        <w:kinsoku/>
        <w:wordWrap/>
        <w:overflowPunct/>
        <w:topLinePunct w:val="0"/>
        <w:bidi w:val="0"/>
        <w:snapToGrid/>
        <w:spacing w:line="480" w:lineRule="exact"/>
        <w:ind w:left="0" w:leftChars="0" w:right="0" w:rightChars="0" w:firstLine="643" w:firstLineChars="200"/>
        <w:textAlignment w:val="auto"/>
        <w:rPr>
          <w:rFonts w:eastAsia="仿宋_GB2312"/>
          <w:sz w:val="32"/>
          <w:szCs w:val="32"/>
        </w:rPr>
      </w:pPr>
      <w:r>
        <w:rPr>
          <w:rFonts w:hint="eastAsia" w:ascii="楷体_GB2312" w:eastAsia="楷体_GB2312"/>
          <w:b/>
          <w:bCs/>
          <w:color w:val="000000"/>
          <w:sz w:val="32"/>
          <w:szCs w:val="32"/>
        </w:rPr>
        <w:t>积极推进平安新干建设</w:t>
      </w:r>
      <w:r>
        <w:rPr>
          <w:rFonts w:hint="eastAsia" w:ascii="楷体_GB2312" w:eastAsia="楷体_GB2312"/>
          <w:b/>
          <w:bCs/>
          <w:color w:val="000000"/>
          <w:sz w:val="32"/>
          <w:szCs w:val="32"/>
          <w:lang w:eastAsia="zh-CN"/>
        </w:rPr>
        <w:t>。</w:t>
      </w:r>
      <w:r>
        <w:rPr>
          <w:rFonts w:hint="eastAsia" w:ascii="仿宋_GB2312" w:hAnsi="仿宋_GB2312" w:eastAsia="仿宋_GB2312" w:cs="仿宋_GB2312"/>
          <w:sz w:val="32"/>
          <w:szCs w:val="32"/>
        </w:rPr>
        <w:t>依法履行批捕起诉职能，</w:t>
      </w:r>
      <w:r>
        <w:rPr>
          <w:rFonts w:hint="eastAsia" w:ascii="仿宋_GB2312" w:hAnsi="仿宋_GB2312" w:eastAsia="仿宋_GB2312" w:cs="仿宋_GB2312"/>
          <w:sz w:val="32"/>
          <w:szCs w:val="32"/>
          <w:lang w:val="en-US" w:eastAsia="zh-CN"/>
        </w:rPr>
        <w:t>突出惩治盗抢骗、黄赌毒等危害社会安全的各类</w:t>
      </w:r>
      <w:r>
        <w:rPr>
          <w:rFonts w:hint="eastAsia" w:ascii="仿宋_GB2312" w:hAnsi="仿宋_GB2312" w:eastAsia="仿宋_GB2312" w:cs="仿宋_GB2312"/>
          <w:sz w:val="32"/>
          <w:szCs w:val="32"/>
        </w:rPr>
        <w:t>刑事犯罪。共受理公安机关提请批准逮捕案件239件373人，批准逮捕184件291人，不捕82人；共受理公安机关提起审查起诉案件248件401人，经审查提起公诉188件309人，不起诉31人，移送吉安市人民检察院管辖13件43人。</w:t>
      </w:r>
      <w:r>
        <w:rPr>
          <w:rFonts w:hint="eastAsia" w:ascii="仿宋" w:hAnsi="仿宋" w:eastAsia="仿宋" w:cs="仿宋"/>
          <w:bCs/>
          <w:color w:val="auto"/>
          <w:sz w:val="32"/>
          <w:szCs w:val="32"/>
          <w:lang w:val="en-US" w:eastAsia="zh-CN"/>
        </w:rPr>
        <w:t>完善与纪委监委反腐败工作衔接机制，</w:t>
      </w:r>
      <w:r>
        <w:rPr>
          <w:rFonts w:hint="eastAsia" w:ascii="仿宋_GB2312" w:hAnsi="仿宋_GB2312" w:eastAsia="仿宋_GB2312" w:cs="仿宋_GB2312"/>
          <w:sz w:val="32"/>
          <w:szCs w:val="32"/>
        </w:rPr>
        <w:t>共受理监委</w:t>
      </w:r>
      <w:r>
        <w:rPr>
          <w:rFonts w:hint="eastAsia" w:ascii="仿宋_GB2312" w:hAnsi="仿宋_GB2312" w:eastAsia="仿宋_GB2312" w:cs="仿宋_GB2312"/>
          <w:sz w:val="32"/>
          <w:szCs w:val="32"/>
          <w:lang w:eastAsia="zh-CN"/>
        </w:rPr>
        <w:t>移送</w:t>
      </w:r>
      <w:r>
        <w:rPr>
          <w:rFonts w:hint="eastAsia" w:ascii="仿宋_GB2312" w:hAnsi="仿宋_GB2312" w:eastAsia="仿宋_GB2312" w:cs="仿宋_GB2312"/>
          <w:sz w:val="32"/>
          <w:szCs w:val="32"/>
        </w:rPr>
        <w:t>审查起诉</w:t>
      </w:r>
      <w:r>
        <w:rPr>
          <w:rFonts w:hint="eastAsia" w:ascii="仿宋_GB2312" w:hAnsi="仿宋_GB2312" w:eastAsia="仿宋_GB2312" w:cs="仿宋_GB2312"/>
          <w:sz w:val="32"/>
          <w:szCs w:val="32"/>
          <w:lang w:eastAsia="zh-CN"/>
        </w:rPr>
        <w:t>职务犯罪</w:t>
      </w:r>
      <w:r>
        <w:rPr>
          <w:rFonts w:hint="eastAsia" w:ascii="仿宋_GB2312" w:hAnsi="仿宋_GB2312" w:eastAsia="仿宋_GB2312" w:cs="仿宋_GB2312"/>
          <w:sz w:val="32"/>
          <w:szCs w:val="32"/>
        </w:rPr>
        <w:t>案件4件4人，经审查提起公诉2件2人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对监委办理的3件职务犯罪案件开展提前介入工作</w:t>
      </w:r>
      <w:r>
        <w:rPr>
          <w:rFonts w:hint="eastAsia" w:ascii="仿宋_GB2312" w:hAnsi="仿宋_GB2312" w:eastAsia="仿宋_GB2312" w:cs="仿宋_GB2312"/>
          <w:sz w:val="32"/>
          <w:szCs w:val="32"/>
          <w:lang w:eastAsia="zh-CN"/>
        </w:rPr>
        <w:t>，加大职务犯罪打击力度</w:t>
      </w:r>
      <w:r>
        <w:rPr>
          <w:rFonts w:hint="eastAsia" w:ascii="仿宋_GB2312" w:hAnsi="仿宋_GB2312" w:eastAsia="仿宋_GB2312" w:cs="仿宋_GB2312"/>
          <w:sz w:val="32"/>
          <w:szCs w:val="32"/>
        </w:rPr>
        <w:t>。</w:t>
      </w:r>
    </w:p>
    <w:p w14:paraId="448AA930">
      <w:pPr>
        <w:pStyle w:val="2"/>
        <w:keepNext w:val="0"/>
        <w:keepLines w:val="0"/>
        <w:pageBreakBefore w:val="0"/>
        <w:widowControl w:val="0"/>
        <w:kinsoku/>
        <w:wordWrap/>
        <w:overflowPunct/>
        <w:topLinePunct w:val="0"/>
        <w:autoSpaceDE/>
        <w:autoSpaceDN/>
        <w:bidi w:val="0"/>
        <w:adjustRightInd/>
        <w:snapToGrid/>
        <w:spacing w:after="120" w:afterLines="0" w:line="4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eastAsia="楷体_GB2312"/>
          <w:b/>
          <w:bCs/>
          <w:color w:val="000000"/>
          <w:sz w:val="32"/>
          <w:szCs w:val="32"/>
        </w:rPr>
        <w:t>全力打好三大攻坚战。</w:t>
      </w:r>
      <w:r>
        <w:rPr>
          <w:rFonts w:hint="eastAsia" w:ascii="仿宋_GB2312" w:hAnsi="仿宋_GB2312" w:eastAsia="仿宋_GB2312" w:cs="仿宋_GB2312"/>
          <w:sz w:val="32"/>
          <w:szCs w:val="32"/>
        </w:rPr>
        <w:t>深入开展防范非法集资宣传活动</w:t>
      </w:r>
      <w:r>
        <w:rPr>
          <w:rFonts w:hint="eastAsia" w:ascii="仿宋_GB2312" w:hAnsi="仿宋_GB2312" w:cs="仿宋_GB2312"/>
          <w:sz w:val="32"/>
          <w:szCs w:val="32"/>
          <w:lang w:eastAsia="zh-CN"/>
        </w:rPr>
        <w:t>，</w:t>
      </w:r>
      <w:r>
        <w:rPr>
          <w:rFonts w:hint="eastAsia" w:ascii="仿宋" w:hAnsi="仿宋" w:eastAsia="仿宋" w:cs="仿宋"/>
          <w:sz w:val="32"/>
          <w:szCs w:val="32"/>
          <w:lang w:val="en-US" w:eastAsia="zh-CN"/>
        </w:rPr>
        <w:t>参与我县“e租宝”案集资参与人信息登记，做好思想稳控，力求最大限度挽回损失；</w:t>
      </w:r>
      <w:r>
        <w:rPr>
          <w:rFonts w:hint="eastAsia" w:ascii="仿宋_GB2312" w:hAnsi="仿宋_GB2312" w:eastAsia="仿宋_GB2312" w:cs="仿宋_GB2312"/>
          <w:sz w:val="32"/>
          <w:szCs w:val="32"/>
          <w:lang w:eastAsia="zh-CN"/>
        </w:rPr>
        <w:t>将办案中发现的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sz w:val="32"/>
          <w:szCs w:val="32"/>
        </w:rPr>
        <w:t>涉嫌非法吸收公众存款</w:t>
      </w:r>
      <w:r>
        <w:rPr>
          <w:rFonts w:hint="eastAsia" w:ascii="仿宋_GB2312" w:hAnsi="仿宋_GB2312" w:eastAsia="仿宋_GB2312" w:cs="仿宋_GB2312"/>
          <w:sz w:val="32"/>
          <w:szCs w:val="32"/>
          <w:lang w:eastAsia="zh-CN"/>
        </w:rPr>
        <w:t>犯罪线索移交县公安局侦查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防范金融风险。扎实</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精准扶贫工作，挂点帮扶基层党组织，全院</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名在职干警共结对帮扶城乡贫困户</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通过结对帮扶</w:t>
      </w:r>
      <w:r>
        <w:rPr>
          <w:rFonts w:hint="eastAsia" w:ascii="仿宋_GB2312" w:hAnsi="仿宋_GB2312" w:eastAsia="仿宋_GB2312" w:cs="仿宋_GB2312"/>
          <w:sz w:val="32"/>
          <w:szCs w:val="32"/>
        </w:rPr>
        <w:t>及资金支持等方式助力精准脱贫。</w:t>
      </w:r>
      <w:r>
        <w:rPr>
          <w:rFonts w:hint="eastAsia" w:ascii="仿宋_GB2312" w:hAnsi="仿宋_GB2312" w:eastAsia="仿宋_GB2312" w:cs="仿宋_GB2312"/>
          <w:sz w:val="32"/>
          <w:szCs w:val="32"/>
          <w:lang w:eastAsia="zh-CN"/>
        </w:rPr>
        <w:t>推进“青山、绿水、蓝天”工程，</w:t>
      </w:r>
      <w:r>
        <w:rPr>
          <w:rFonts w:hint="eastAsia" w:ascii="仿宋_GB2312" w:hAnsi="仿宋_GB2312" w:eastAsia="仿宋_GB2312" w:cs="仿宋_GB2312"/>
          <w:sz w:val="32"/>
          <w:szCs w:val="32"/>
        </w:rPr>
        <w:t>围绕污染防治，</w:t>
      </w:r>
      <w:r>
        <w:rPr>
          <w:rFonts w:hint="eastAsia" w:ascii="仿宋_GB2312" w:hAnsi="仿宋_GB2312" w:eastAsia="仿宋_GB2312" w:cs="仿宋_GB2312"/>
          <w:sz w:val="32"/>
          <w:szCs w:val="32"/>
          <w:lang w:eastAsia="zh-CN"/>
        </w:rPr>
        <w:t>生态保护，全面履行检察职能，</w:t>
      </w:r>
      <w:r>
        <w:rPr>
          <w:rFonts w:hint="eastAsia" w:ascii="仿宋_GB2312" w:hAnsi="仿宋_GB2312" w:eastAsia="仿宋_GB2312" w:cs="仿宋_GB2312"/>
          <w:sz w:val="32"/>
          <w:szCs w:val="32"/>
        </w:rPr>
        <w:t>生态检察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公益诉讼齐头并进，</w:t>
      </w:r>
      <w:r>
        <w:rPr>
          <w:rFonts w:hint="eastAsia" w:ascii="仿宋_GB2312" w:hAnsi="仿宋_GB2312" w:cs="仿宋_GB2312"/>
          <w:sz w:val="32"/>
          <w:szCs w:val="32"/>
          <w:lang w:eastAsia="zh-CN"/>
        </w:rPr>
        <w:t>共</w:t>
      </w:r>
      <w:r>
        <w:rPr>
          <w:rFonts w:hint="eastAsia" w:ascii="仿宋_GB2312" w:hAnsi="仿宋_GB2312" w:eastAsia="仿宋_GB2312" w:cs="仿宋_GB2312"/>
          <w:sz w:val="32"/>
          <w:szCs w:val="32"/>
          <w:lang w:eastAsia="zh-CN"/>
        </w:rPr>
        <w:t>办理涉嫌破坏生态环境类案件</w:t>
      </w:r>
      <w:r>
        <w:rPr>
          <w:rFonts w:hint="eastAsia" w:ascii="仿宋_GB2312" w:hAnsi="仿宋_GB2312" w:eastAsia="仿宋_GB2312" w:cs="仿宋_GB2312"/>
          <w:color w:val="000000"/>
          <w:sz w:val="32"/>
          <w:szCs w:val="32"/>
          <w:highlight w:val="none"/>
          <w:lang w:val="en-US" w:eastAsia="zh-CN"/>
        </w:rPr>
        <w:t>22</w:t>
      </w:r>
      <w:r>
        <w:rPr>
          <w:rFonts w:hint="eastAsia" w:ascii="仿宋_GB2312" w:hAnsi="仿宋_GB2312" w:eastAsia="仿宋_GB2312" w:cs="仿宋_GB2312"/>
          <w:color w:val="000000"/>
          <w:sz w:val="32"/>
          <w:szCs w:val="32"/>
          <w:highlight w:val="none"/>
        </w:rPr>
        <w:t>件</w:t>
      </w:r>
      <w:r>
        <w:rPr>
          <w:rFonts w:hint="eastAsia" w:ascii="仿宋_GB2312" w:hAnsi="仿宋_GB2312" w:eastAsia="仿宋_GB2312" w:cs="仿宋_GB2312"/>
          <w:color w:val="000000"/>
          <w:sz w:val="32"/>
          <w:szCs w:val="32"/>
          <w:highlight w:val="none"/>
          <w:lang w:val="en-US" w:eastAsia="zh-CN"/>
        </w:rPr>
        <w:t>26</w:t>
      </w:r>
      <w:r>
        <w:rPr>
          <w:rFonts w:hint="eastAsia" w:ascii="仿宋_GB2312" w:hAnsi="仿宋_GB2312" w:eastAsia="仿宋_GB2312" w:cs="仿宋_GB2312"/>
          <w:color w:val="000000"/>
          <w:sz w:val="32"/>
          <w:szCs w:val="32"/>
          <w:highlight w:val="none"/>
        </w:rPr>
        <w:t>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办理生态环境保护领域行政公益诉讼诉前程序案件</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切实履行生态保护职责</w:t>
      </w:r>
      <w:r>
        <w:rPr>
          <w:rFonts w:hint="eastAsia" w:ascii="仿宋_GB2312" w:hAnsi="仿宋_GB2312" w:eastAsia="仿宋_GB2312" w:cs="仿宋_GB2312"/>
          <w:sz w:val="32"/>
          <w:szCs w:val="32"/>
        </w:rPr>
        <w:t>。</w:t>
      </w:r>
    </w:p>
    <w:p w14:paraId="07032634">
      <w:pPr>
        <w:keepNext w:val="0"/>
        <w:keepLines w:val="0"/>
        <w:pageBreakBefore w:val="0"/>
        <w:kinsoku/>
        <w:wordWrap/>
        <w:overflowPunct/>
        <w:topLinePunct w:val="0"/>
        <w:bidi w:val="0"/>
        <w:snapToGrid/>
        <w:spacing w:line="480" w:lineRule="exact"/>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楷体_GB2312" w:eastAsia="楷体_GB2312"/>
          <w:b/>
          <w:bCs/>
          <w:color w:val="auto"/>
          <w:sz w:val="32"/>
          <w:szCs w:val="32"/>
        </w:rPr>
        <w:t>主动对接服务非公企业。</w:t>
      </w:r>
      <w:r>
        <w:rPr>
          <w:rFonts w:hint="eastAsia" w:ascii="仿宋_GB2312" w:hAnsi="仿宋_GB2312" w:eastAsia="仿宋_GB2312" w:cs="仿宋_GB2312"/>
          <w:color w:val="auto"/>
          <w:sz w:val="32"/>
          <w:szCs w:val="32"/>
        </w:rPr>
        <w:t>在县工业园区工商联分会设立检察联系点，建立与县工商联、工业园区管委会联系协调机制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帮助企业协调解决在经营方面遇到的困难和问题；开展“检察护航民企发展”主题检察开放日活动，邀请</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民营企业家代表走进检察院，征求加强和改进服务民企发展的意见建议，选派业务骨干为企业家上</w:t>
      </w:r>
      <w:r>
        <w:rPr>
          <w:rFonts w:hint="eastAsia" w:ascii="仿宋_GB2312" w:hAnsi="仿宋_GB2312" w:eastAsia="仿宋_GB2312" w:cs="仿宋_GB2312"/>
          <w:color w:val="auto"/>
          <w:sz w:val="32"/>
          <w:szCs w:val="32"/>
          <w:lang w:eastAsia="zh-CN"/>
        </w:rPr>
        <w:t>普法宣传</w:t>
      </w:r>
      <w:r>
        <w:rPr>
          <w:rFonts w:hint="eastAsia" w:ascii="仿宋_GB2312" w:hAnsi="仿宋_GB2312" w:eastAsia="仿宋_GB2312" w:cs="仿宋_GB2312"/>
          <w:color w:val="auto"/>
          <w:sz w:val="32"/>
          <w:szCs w:val="32"/>
        </w:rPr>
        <w:t>课；办理非公企业维权刑事案件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件，打击侵害企业合法权益的犯罪行为，</w:t>
      </w:r>
      <w:r>
        <w:rPr>
          <w:rFonts w:hint="eastAsia" w:ascii="仿宋_GB2312" w:hAnsi="仿宋_GB2312" w:eastAsia="仿宋_GB2312" w:cs="仿宋_GB2312"/>
          <w:color w:val="auto"/>
          <w:sz w:val="32"/>
          <w:szCs w:val="32"/>
          <w:lang w:eastAsia="zh-CN"/>
        </w:rPr>
        <w:t>帮助</w:t>
      </w:r>
      <w:r>
        <w:rPr>
          <w:rFonts w:hint="eastAsia" w:ascii="仿宋_GB2312" w:hAnsi="仿宋_GB2312" w:eastAsia="仿宋_GB2312" w:cs="仿宋_GB2312"/>
          <w:color w:val="auto"/>
          <w:sz w:val="32"/>
          <w:szCs w:val="32"/>
        </w:rPr>
        <w:t>企业追赃挽损；办理涉民营企业家羁押必要性审查案件</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提出的变更强制性措施建议均被办案机关采纳</w:t>
      </w:r>
      <w:r>
        <w:rPr>
          <w:rFonts w:hint="eastAsia" w:ascii="仿宋_GB2312" w:hAnsi="仿宋_GB2312" w:eastAsia="仿宋_GB2312" w:cs="仿宋_GB2312"/>
          <w:color w:val="auto"/>
          <w:sz w:val="32"/>
          <w:szCs w:val="32"/>
        </w:rPr>
        <w:t>，为企业发展保驾护航。</w:t>
      </w:r>
    </w:p>
    <w:p w14:paraId="05A78419">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二、聚焦检察职能，在服务和保障民生中体现检察价值</w:t>
      </w:r>
    </w:p>
    <w:p w14:paraId="1ABE657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楷体_GB2312" w:eastAsia="楷体_GB2312"/>
          <w:b/>
          <w:bCs/>
          <w:color w:val="000000"/>
          <w:sz w:val="32"/>
          <w:szCs w:val="32"/>
        </w:rPr>
      </w:pPr>
      <w:r>
        <w:rPr>
          <w:rFonts w:hint="eastAsia" w:ascii="仿宋_GB2312" w:hAnsi="仿宋_GB2312" w:eastAsia="仿宋_GB2312" w:cs="仿宋_GB2312"/>
          <w:sz w:val="32"/>
          <w:szCs w:val="32"/>
        </w:rPr>
        <w:t>坚持以人民群众新时代新需求为导向，</w:t>
      </w:r>
      <w:r>
        <w:rPr>
          <w:rFonts w:hint="eastAsia" w:ascii="仿宋_GB2312" w:hAnsi="仿宋_GB2312" w:eastAsia="仿宋_GB2312" w:cs="仿宋_GB2312"/>
          <w:sz w:val="32"/>
          <w:szCs w:val="32"/>
          <w:lang w:eastAsia="zh-CN"/>
        </w:rPr>
        <w:t>为人民群众提供更优质的司法产品、检察产品，</w:t>
      </w:r>
      <w:r>
        <w:rPr>
          <w:rFonts w:hint="eastAsia" w:ascii="仿宋_GB2312" w:hAnsi="仿宋_GB2312" w:eastAsia="仿宋_GB2312" w:cs="仿宋_GB2312"/>
          <w:sz w:val="32"/>
          <w:szCs w:val="32"/>
        </w:rPr>
        <w:t>让人民群众有更多司法获得感</w:t>
      </w:r>
      <w:r>
        <w:rPr>
          <w:rFonts w:hint="eastAsia" w:ascii="仿宋_GB2312" w:hAnsi="仿宋_GB2312" w:eastAsia="仿宋_GB2312" w:cs="仿宋_GB2312"/>
          <w:sz w:val="32"/>
          <w:szCs w:val="32"/>
          <w:lang w:eastAsia="zh-CN"/>
        </w:rPr>
        <w:t>。</w:t>
      </w:r>
    </w:p>
    <w:p w14:paraId="2DF8D63B">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3" w:firstLineChars="200"/>
        <w:textAlignment w:val="auto"/>
        <w:rPr>
          <w:rFonts w:hint="eastAsia" w:ascii="仿宋_GB2312" w:hAnsi="Calibri" w:eastAsia="仿宋_GB2312"/>
          <w:color w:val="000000"/>
          <w:sz w:val="32"/>
          <w:szCs w:val="32"/>
        </w:rPr>
      </w:pPr>
      <w:r>
        <w:rPr>
          <w:rFonts w:hint="eastAsia" w:ascii="楷体_GB2312" w:eastAsia="楷体_GB2312"/>
          <w:b/>
          <w:bCs/>
          <w:color w:val="000000"/>
          <w:sz w:val="32"/>
          <w:szCs w:val="32"/>
          <w:lang w:eastAsia="zh-CN"/>
        </w:rPr>
        <w:t>传递司法“温情”。</w:t>
      </w:r>
      <w:r>
        <w:rPr>
          <w:rFonts w:hint="eastAsia" w:ascii="仿宋_GB2312" w:hAnsi="Calibri" w:eastAsia="仿宋_GB2312"/>
          <w:color w:val="000000"/>
          <w:sz w:val="32"/>
          <w:szCs w:val="32"/>
        </w:rPr>
        <w:t>贯彻宽严相济刑事政策，积极推动认罪认罚从宽制度</w:t>
      </w:r>
      <w:r>
        <w:rPr>
          <w:rFonts w:hint="default" w:ascii="Calibri" w:hAnsi="Calibri" w:eastAsia="仿宋_GB2312" w:cs="Calibri"/>
          <w:sz w:val="32"/>
          <w:szCs w:val="32"/>
          <w:vertAlign w:val="superscript"/>
        </w:rPr>
        <w:t>①</w:t>
      </w:r>
      <w:r>
        <w:rPr>
          <w:rFonts w:hint="eastAsia" w:ascii="仿宋_GB2312" w:hAnsi="Calibri" w:eastAsia="仿宋_GB2312"/>
          <w:color w:val="000000"/>
          <w:sz w:val="32"/>
          <w:szCs w:val="32"/>
        </w:rPr>
        <w:t>全面落实</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在坚持依法严厉打击严重犯罪的同时，</w:t>
      </w:r>
      <w:r>
        <w:rPr>
          <w:rFonts w:hint="eastAsia" w:ascii="仿宋_GB2312" w:hAnsi="Calibri" w:eastAsia="仿宋_GB2312"/>
          <w:color w:val="000000"/>
          <w:sz w:val="32"/>
          <w:szCs w:val="32"/>
          <w:lang w:eastAsia="zh-CN"/>
        </w:rPr>
        <w:t>对</w:t>
      </w:r>
      <w:r>
        <w:rPr>
          <w:rFonts w:hint="eastAsia" w:ascii="仿宋_GB2312" w:hAnsi="Calibri" w:eastAsia="仿宋_GB2312"/>
          <w:color w:val="000000"/>
          <w:sz w:val="32"/>
          <w:szCs w:val="32"/>
          <w:lang w:val="en-US" w:eastAsia="zh-CN"/>
        </w:rPr>
        <w:t>社会危险性较小</w:t>
      </w:r>
      <w:r>
        <w:rPr>
          <w:rFonts w:hint="eastAsia" w:ascii="仿宋_GB2312" w:hAnsi="Calibri" w:eastAsia="仿宋_GB2312"/>
          <w:color w:val="000000"/>
          <w:sz w:val="32"/>
          <w:szCs w:val="32"/>
          <w:highlight w:val="none"/>
          <w:lang w:val="en-US" w:eastAsia="zh-CN"/>
        </w:rPr>
        <w:t>的</w:t>
      </w:r>
      <w:r>
        <w:rPr>
          <w:rFonts w:hint="eastAsia" w:ascii="仿宋_GB2312" w:hAnsi="Calibri" w:eastAsia="仿宋_GB2312"/>
          <w:color w:val="000000"/>
          <w:sz w:val="32"/>
          <w:szCs w:val="32"/>
          <w:lang w:eastAsia="zh-CN"/>
        </w:rPr>
        <w:t>轻刑犯罪案件</w:t>
      </w:r>
      <w:r>
        <w:rPr>
          <w:rFonts w:hint="eastAsia" w:ascii="仿宋_GB2312" w:hAnsi="Calibri" w:eastAsia="仿宋_GB2312"/>
          <w:color w:val="000000"/>
          <w:sz w:val="32"/>
          <w:szCs w:val="32"/>
        </w:rPr>
        <w:t>坚持少捕慎诉</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highlight w:val="none"/>
          <w:lang w:eastAsia="zh-CN"/>
        </w:rPr>
        <w:t>共</w:t>
      </w:r>
      <w:r>
        <w:rPr>
          <w:rFonts w:hint="eastAsia" w:ascii="仿宋_GB2312" w:hAnsi="Calibri" w:eastAsia="仿宋_GB2312"/>
          <w:color w:val="000000"/>
          <w:sz w:val="32"/>
          <w:szCs w:val="32"/>
          <w:highlight w:val="none"/>
          <w:lang w:val="en-US" w:eastAsia="zh-CN"/>
        </w:rPr>
        <w:t>对18人作出无逮捕必要不捕决定，对29人作出相对不起诉决定</w:t>
      </w:r>
      <w:r>
        <w:rPr>
          <w:rFonts w:hint="eastAsia" w:ascii="仿宋_GB2312" w:hAnsi="Calibri" w:eastAsia="仿宋_GB2312"/>
          <w:color w:val="000000"/>
          <w:sz w:val="32"/>
          <w:szCs w:val="32"/>
          <w:highlight w:val="none"/>
          <w:lang w:eastAsia="zh-CN"/>
        </w:rPr>
        <w:t>。</w:t>
      </w:r>
      <w:r>
        <w:rPr>
          <w:rFonts w:hint="eastAsia" w:ascii="仿宋_GB2312" w:hAnsi="Calibri" w:eastAsia="仿宋_GB2312"/>
          <w:color w:val="000000"/>
          <w:sz w:val="32"/>
          <w:szCs w:val="32"/>
          <w:lang w:eastAsia="zh-CN"/>
        </w:rPr>
        <w:t>充分发挥刑罚的教育功能，引导犯罪嫌疑人认罪悔罪，减少社会对抗，修复社会关系，</w:t>
      </w:r>
      <w:r>
        <w:rPr>
          <w:rFonts w:hint="eastAsia" w:ascii="仿宋_GB2312" w:hAnsi="Calibri" w:eastAsia="仿宋_GB2312"/>
          <w:color w:val="000000"/>
          <w:sz w:val="32"/>
          <w:szCs w:val="32"/>
        </w:rPr>
        <w:t>实现执法办案“三个效果”有机统一。全年</w:t>
      </w:r>
      <w:r>
        <w:rPr>
          <w:rFonts w:hint="eastAsia" w:ascii="仿宋_GB2312" w:hAnsi="Calibri" w:eastAsia="仿宋_GB2312"/>
          <w:color w:val="000000"/>
          <w:sz w:val="32"/>
          <w:szCs w:val="32"/>
          <w:lang w:eastAsia="zh-CN"/>
        </w:rPr>
        <w:t>刑事案件</w:t>
      </w:r>
      <w:r>
        <w:rPr>
          <w:rFonts w:hint="eastAsia" w:ascii="仿宋_GB2312" w:hAnsi="Calibri" w:eastAsia="仿宋_GB2312"/>
          <w:color w:val="000000"/>
          <w:sz w:val="32"/>
          <w:szCs w:val="32"/>
        </w:rPr>
        <w:t>适用认罪认罚</w:t>
      </w:r>
      <w:r>
        <w:rPr>
          <w:rFonts w:hint="eastAsia" w:ascii="仿宋_GB2312" w:hAnsi="Calibri" w:eastAsia="仿宋_GB2312"/>
          <w:color w:val="000000"/>
          <w:sz w:val="32"/>
          <w:szCs w:val="32"/>
          <w:lang w:eastAsia="zh-CN"/>
        </w:rPr>
        <w:t>从宽制度共</w:t>
      </w:r>
      <w:r>
        <w:rPr>
          <w:rFonts w:hint="eastAsia" w:ascii="仿宋_GB2312" w:hAnsi="Calibri" w:eastAsia="仿宋_GB2312"/>
          <w:color w:val="000000"/>
          <w:sz w:val="32"/>
          <w:szCs w:val="32"/>
          <w:lang w:val="en-US" w:eastAsia="zh-CN"/>
        </w:rPr>
        <w:t>162</w:t>
      </w:r>
      <w:r>
        <w:rPr>
          <w:rFonts w:hint="eastAsia" w:ascii="仿宋_GB2312" w:hAnsi="Calibri" w:eastAsia="仿宋_GB2312"/>
          <w:color w:val="000000"/>
          <w:sz w:val="32"/>
          <w:szCs w:val="32"/>
        </w:rPr>
        <w:t>人。</w:t>
      </w:r>
    </w:p>
    <w:p w14:paraId="2174434E">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楷体_GB2312" w:eastAsia="楷体_GB2312"/>
          <w:b/>
          <w:bCs/>
          <w:color w:val="000000"/>
          <w:sz w:val="32"/>
          <w:szCs w:val="32"/>
          <w:lang w:eastAsia="zh-CN"/>
        </w:rPr>
        <w:t>呵护</w:t>
      </w:r>
      <w:r>
        <w:rPr>
          <w:rFonts w:hint="eastAsia" w:ascii="楷体_GB2312" w:eastAsia="楷体_GB2312"/>
          <w:b/>
          <w:bCs/>
          <w:color w:val="000000"/>
          <w:sz w:val="32"/>
          <w:szCs w:val="32"/>
        </w:rPr>
        <w:t>未成年人</w:t>
      </w:r>
      <w:r>
        <w:rPr>
          <w:rFonts w:hint="eastAsia" w:ascii="楷体_GB2312" w:eastAsia="楷体_GB2312"/>
          <w:b/>
          <w:bCs/>
          <w:color w:val="000000"/>
          <w:sz w:val="32"/>
          <w:szCs w:val="32"/>
          <w:lang w:eastAsia="zh-CN"/>
        </w:rPr>
        <w:t>成长</w:t>
      </w:r>
      <w:r>
        <w:rPr>
          <w:rFonts w:hint="eastAsia" w:ascii="楷体_GB2312" w:eastAsia="楷体_GB2312"/>
          <w:b/>
          <w:bCs/>
          <w:color w:val="000000"/>
          <w:sz w:val="32"/>
          <w:szCs w:val="32"/>
        </w:rPr>
        <w:t>。</w:t>
      </w:r>
      <w:r>
        <w:rPr>
          <w:rFonts w:hint="eastAsia" w:ascii="仿宋_GB2312" w:hAnsi="仿宋_GB2312" w:eastAsia="仿宋_GB2312" w:cs="仿宋_GB2312"/>
          <w:sz w:val="32"/>
          <w:szCs w:val="32"/>
        </w:rPr>
        <w:t>全面落实</w:t>
      </w:r>
      <w:r>
        <w:rPr>
          <w:rFonts w:hint="eastAsia" w:ascii="仿宋_GB2312" w:hAnsi="仿宋_GB2312" w:eastAsia="仿宋_GB2312" w:cs="仿宋_GB2312"/>
          <w:sz w:val="32"/>
          <w:szCs w:val="32"/>
          <w:lang w:eastAsia="zh-CN"/>
        </w:rPr>
        <w:t>最高检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号检察建议”</w:t>
      </w:r>
      <w:r>
        <w:rPr>
          <w:rFonts w:hint="default" w:ascii="Calibri" w:hAnsi="Calibri" w:eastAsia="仿宋_GB2312" w:cs="Calibri"/>
          <w:sz w:val="32"/>
          <w:szCs w:val="32"/>
          <w:vertAlign w:val="superscript"/>
        </w:rPr>
        <w:t>②</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选派</w:t>
      </w:r>
      <w:r>
        <w:rPr>
          <w:rFonts w:hint="eastAsia" w:ascii="仿宋_GB2312" w:hAnsi="仿宋_GB2312" w:eastAsia="仿宋_GB2312" w:cs="仿宋_GB2312"/>
          <w:sz w:val="32"/>
          <w:szCs w:val="32"/>
          <w:lang w:val="en-US" w:eastAsia="zh-CN"/>
        </w:rPr>
        <w:t>院领导、员额检察官担任法治副校长，</w:t>
      </w:r>
      <w:r>
        <w:rPr>
          <w:rFonts w:hint="eastAsia" w:ascii="仿宋_GB2312" w:hAnsi="仿宋_GB2312" w:eastAsia="仿宋_GB2312" w:cs="仿宋_GB2312"/>
          <w:sz w:val="32"/>
          <w:szCs w:val="32"/>
        </w:rPr>
        <w:t>围绕防范校园欺凌、预防性侵等内容</w:t>
      </w:r>
      <w:r>
        <w:rPr>
          <w:rFonts w:hint="eastAsia" w:ascii="仿宋_GB2312" w:hAnsi="仿宋_GB2312" w:eastAsia="仿宋_GB2312" w:cs="仿宋_GB2312"/>
          <w:sz w:val="32"/>
          <w:szCs w:val="32"/>
          <w:lang w:eastAsia="zh-CN"/>
        </w:rPr>
        <w:t>，给未成年学生上法治教育课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会同相关职能部门，对全县范围内</w:t>
      </w:r>
      <w:r>
        <w:rPr>
          <w:rFonts w:hint="eastAsia" w:ascii="仿宋_GB2312" w:hAnsi="仿宋_GB2312" w:eastAsia="仿宋_GB2312" w:cs="仿宋_GB2312"/>
          <w:sz w:val="32"/>
          <w:szCs w:val="32"/>
          <w:lang w:val="en-US" w:eastAsia="zh-CN"/>
        </w:rPr>
        <w:t>48所中小学及幼儿园进行食品安全突击检查，通过制发检察建议等方式，保障了13所学校师生的饮用水安全、6所学校的食堂卫生安全。</w:t>
      </w:r>
      <w:r>
        <w:rPr>
          <w:rFonts w:hint="eastAsia" w:ascii="仿宋_GB2312" w:hAnsi="Calibri" w:eastAsia="仿宋_GB2312"/>
          <w:color w:val="000000"/>
          <w:sz w:val="32"/>
          <w:szCs w:val="32"/>
        </w:rPr>
        <w:t>对未成年人犯罪注重帮教</w:t>
      </w:r>
      <w:r>
        <w:rPr>
          <w:rFonts w:hint="eastAsia" w:ascii="仿宋_GB2312" w:hAnsi="Calibri" w:eastAsia="仿宋_GB2312"/>
          <w:color w:val="000000"/>
          <w:sz w:val="32"/>
          <w:szCs w:val="32"/>
          <w:lang w:eastAsia="zh-CN"/>
        </w:rPr>
        <w:t>挽救，</w:t>
      </w:r>
      <w:r>
        <w:rPr>
          <w:rFonts w:hint="eastAsia" w:ascii="仿宋_GB2312" w:hAnsi="Calibri" w:eastAsia="仿宋_GB2312"/>
          <w:color w:val="000000"/>
          <w:sz w:val="32"/>
          <w:szCs w:val="32"/>
        </w:rPr>
        <w:t>落实特殊保护，成立了未成年人犯罪</w:t>
      </w:r>
      <w:r>
        <w:rPr>
          <w:rFonts w:hint="eastAsia" w:ascii="仿宋_GB2312" w:hAnsi="Calibri" w:eastAsia="仿宋_GB2312"/>
          <w:color w:val="000000"/>
          <w:sz w:val="32"/>
          <w:szCs w:val="32"/>
          <w:lang w:eastAsia="zh-CN"/>
        </w:rPr>
        <w:t>专</w:t>
      </w:r>
      <w:r>
        <w:rPr>
          <w:rFonts w:hint="eastAsia" w:ascii="仿宋_GB2312" w:hAnsi="Calibri" w:eastAsia="仿宋_GB2312"/>
          <w:color w:val="000000"/>
          <w:sz w:val="32"/>
          <w:szCs w:val="32"/>
        </w:rPr>
        <w:t>案组，</w:t>
      </w:r>
      <w:r>
        <w:rPr>
          <w:rFonts w:hint="eastAsia" w:ascii="仿宋_GB2312" w:hAnsi="Calibri" w:eastAsia="仿宋_GB2312"/>
          <w:color w:val="000000"/>
          <w:sz w:val="32"/>
          <w:szCs w:val="32"/>
          <w:lang w:eastAsia="zh-CN"/>
        </w:rPr>
        <w:t>对</w:t>
      </w:r>
      <w:r>
        <w:rPr>
          <w:rFonts w:hint="eastAsia" w:ascii="仿宋_GB2312" w:hAnsi="Calibri" w:eastAsia="仿宋_GB2312"/>
          <w:color w:val="000000"/>
          <w:sz w:val="32"/>
          <w:szCs w:val="32"/>
        </w:rPr>
        <w:t>2</w:t>
      </w:r>
      <w:r>
        <w:rPr>
          <w:rFonts w:hint="eastAsia" w:ascii="仿宋_GB2312" w:hAnsi="Calibri" w:eastAsia="仿宋_GB2312"/>
          <w:color w:val="000000"/>
          <w:sz w:val="32"/>
          <w:szCs w:val="32"/>
          <w:lang w:eastAsia="zh-CN"/>
        </w:rPr>
        <w:t>名</w:t>
      </w:r>
      <w:r>
        <w:rPr>
          <w:rFonts w:hint="eastAsia" w:ascii="仿宋_GB2312" w:hAnsi="Calibri" w:eastAsia="仿宋_GB2312"/>
          <w:color w:val="000000"/>
          <w:sz w:val="32"/>
          <w:szCs w:val="32"/>
        </w:rPr>
        <w:t>未成年人</w:t>
      </w:r>
      <w:r>
        <w:rPr>
          <w:rFonts w:hint="eastAsia" w:ascii="仿宋_GB2312" w:hAnsi="Calibri" w:eastAsia="仿宋_GB2312"/>
          <w:color w:val="000000"/>
          <w:sz w:val="32"/>
          <w:szCs w:val="32"/>
          <w:lang w:eastAsia="zh-CN"/>
        </w:rPr>
        <w:t>犯罪学生作出</w:t>
      </w:r>
      <w:r>
        <w:rPr>
          <w:rFonts w:hint="eastAsia" w:ascii="仿宋_GB2312" w:hAnsi="Calibri" w:eastAsia="仿宋_GB2312"/>
          <w:color w:val="000000"/>
          <w:sz w:val="32"/>
          <w:szCs w:val="32"/>
        </w:rPr>
        <w:t>附条件不起诉</w:t>
      </w:r>
      <w:r>
        <w:rPr>
          <w:rFonts w:hint="eastAsia" w:ascii="仿宋_GB2312" w:hAnsi="Calibri" w:eastAsia="仿宋_GB2312"/>
          <w:color w:val="000000"/>
          <w:sz w:val="32"/>
          <w:szCs w:val="32"/>
          <w:lang w:eastAsia="zh-CN"/>
        </w:rPr>
        <w:t>决定</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使他们</w:t>
      </w:r>
      <w:r>
        <w:rPr>
          <w:rFonts w:hint="eastAsia" w:ascii="仿宋_GB2312" w:hAnsi="Calibri" w:eastAsia="仿宋_GB2312"/>
          <w:color w:val="000000"/>
          <w:sz w:val="32"/>
          <w:szCs w:val="32"/>
        </w:rPr>
        <w:t>继续完成学业。</w:t>
      </w:r>
    </w:p>
    <w:p w14:paraId="53ED8D62">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textAlignment w:val="auto"/>
        <w:rPr>
          <w:rFonts w:hint="eastAsia" w:ascii="仿宋_GB2312" w:hAnsi="Calibri" w:eastAsia="仿宋_GB2312"/>
          <w:color w:val="000000"/>
          <w:sz w:val="32"/>
          <w:szCs w:val="32"/>
        </w:rPr>
      </w:pPr>
      <w:r>
        <w:rPr>
          <w:rFonts w:hint="eastAsia" w:ascii="楷体_GB2312" w:eastAsia="楷体_GB2312"/>
          <w:b/>
          <w:bCs/>
          <w:color w:val="000000"/>
          <w:sz w:val="32"/>
          <w:szCs w:val="32"/>
          <w:lang w:eastAsia="zh-CN"/>
        </w:rPr>
        <w:t>守护民生</w:t>
      </w:r>
      <w:r>
        <w:rPr>
          <w:rFonts w:hint="eastAsia" w:ascii="楷体_GB2312" w:eastAsia="楷体_GB2312"/>
          <w:b/>
          <w:bCs/>
          <w:color w:val="000000"/>
          <w:sz w:val="32"/>
          <w:szCs w:val="32"/>
        </w:rPr>
        <w:t>公益。</w:t>
      </w:r>
      <w:r>
        <w:rPr>
          <w:rFonts w:hint="eastAsia" w:ascii="仿宋_GB2312" w:hAnsi="Calibri" w:eastAsia="仿宋_GB2312"/>
          <w:color w:val="000000"/>
          <w:sz w:val="32"/>
          <w:szCs w:val="32"/>
          <w:lang w:eastAsia="zh-CN"/>
        </w:rPr>
        <w:t>关注民生民利，聘请了</w:t>
      </w:r>
      <w:r>
        <w:rPr>
          <w:rFonts w:hint="eastAsia" w:ascii="仿宋_GB2312" w:hAnsi="Calibri" w:eastAsia="仿宋_GB2312"/>
          <w:color w:val="000000"/>
          <w:sz w:val="32"/>
          <w:szCs w:val="32"/>
          <w:lang w:val="en-US" w:eastAsia="zh-CN"/>
        </w:rPr>
        <w:t>32名水管员及一线护林员为公益诉讼信息员，拓展公益诉讼线索来源。</w:t>
      </w:r>
      <w:r>
        <w:rPr>
          <w:rFonts w:hint="eastAsia" w:ascii="仿宋_GB2312" w:hAnsi="Calibri" w:eastAsia="仿宋_GB2312"/>
          <w:color w:val="000000"/>
          <w:sz w:val="32"/>
          <w:szCs w:val="32"/>
        </w:rPr>
        <w:t>结合</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赣江</w:t>
      </w:r>
      <w:r>
        <w:rPr>
          <w:rFonts w:hint="eastAsia" w:ascii="仿宋_GB2312" w:hAnsi="Calibri" w:eastAsia="仿宋_GB2312"/>
          <w:color w:val="000000"/>
          <w:sz w:val="32"/>
          <w:szCs w:val="32"/>
          <w:lang w:eastAsia="zh-CN"/>
        </w:rPr>
        <w:t>”新干</w:t>
      </w:r>
      <w:r>
        <w:rPr>
          <w:rFonts w:hint="eastAsia" w:ascii="仿宋_GB2312" w:hAnsi="Calibri" w:eastAsia="仿宋_GB2312"/>
          <w:color w:val="000000"/>
          <w:sz w:val="32"/>
          <w:szCs w:val="32"/>
        </w:rPr>
        <w:t>流域生态环境资源保护、网络餐饮及校园食品安全</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食品药品安全</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四个最严</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等公益诉讼</w:t>
      </w:r>
      <w:r>
        <w:rPr>
          <w:rFonts w:hint="default" w:ascii="Calibri" w:hAnsi="Calibri" w:eastAsia="仿宋_GB2312" w:cs="Calibri"/>
          <w:sz w:val="32"/>
          <w:szCs w:val="32"/>
          <w:vertAlign w:val="superscript"/>
        </w:rPr>
        <w:t>③</w:t>
      </w:r>
      <w:r>
        <w:rPr>
          <w:rFonts w:hint="eastAsia" w:ascii="仿宋_GB2312" w:hAnsi="Calibri" w:eastAsia="仿宋_GB2312"/>
          <w:color w:val="000000"/>
          <w:sz w:val="32"/>
          <w:szCs w:val="32"/>
        </w:rPr>
        <w:t>专项监督活动，</w:t>
      </w:r>
      <w:r>
        <w:rPr>
          <w:rFonts w:hint="eastAsia" w:ascii="仿宋_GB2312" w:hAnsi="Calibri" w:eastAsia="仿宋_GB2312"/>
          <w:color w:val="000000"/>
          <w:sz w:val="32"/>
          <w:szCs w:val="32"/>
          <w:lang w:val="en-US" w:eastAsia="zh-CN"/>
        </w:rPr>
        <w:t>共</w:t>
      </w:r>
      <w:r>
        <w:rPr>
          <w:rFonts w:hint="eastAsia" w:ascii="仿宋_GB2312" w:hAnsi="Calibri" w:eastAsia="仿宋_GB2312"/>
          <w:color w:val="000000"/>
          <w:sz w:val="32"/>
          <w:szCs w:val="32"/>
          <w:lang w:eastAsia="zh-CN"/>
        </w:rPr>
        <w:t>摸排公益诉讼线索</w:t>
      </w:r>
      <w:r>
        <w:rPr>
          <w:rFonts w:hint="eastAsia" w:ascii="仿宋_GB2312" w:hAnsi="Calibri" w:eastAsia="仿宋_GB2312"/>
          <w:color w:val="000000"/>
          <w:sz w:val="32"/>
          <w:szCs w:val="32"/>
          <w:lang w:val="en-US" w:eastAsia="zh-CN"/>
        </w:rPr>
        <w:t>50余条，</w:t>
      </w:r>
      <w:r>
        <w:rPr>
          <w:rFonts w:hint="eastAsia" w:ascii="仿宋_GB2312" w:hAnsi="Calibri" w:eastAsia="仿宋_GB2312"/>
          <w:color w:val="000000"/>
          <w:sz w:val="32"/>
          <w:szCs w:val="32"/>
          <w:lang w:eastAsia="zh-CN"/>
        </w:rPr>
        <w:t>立案审查</w:t>
      </w:r>
      <w:r>
        <w:rPr>
          <w:rFonts w:hint="eastAsia" w:ascii="仿宋_GB2312" w:hAnsi="Calibri" w:eastAsia="仿宋_GB2312"/>
          <w:color w:val="000000"/>
          <w:sz w:val="32"/>
          <w:szCs w:val="32"/>
        </w:rPr>
        <w:t>行政公益诉讼案件</w:t>
      </w:r>
      <w:r>
        <w:rPr>
          <w:rFonts w:hint="eastAsia" w:ascii="仿宋_GB2312" w:hAnsi="Calibri" w:eastAsia="仿宋_GB2312"/>
          <w:color w:val="000000"/>
          <w:sz w:val="32"/>
          <w:szCs w:val="32"/>
          <w:lang w:val="en-US" w:eastAsia="zh-CN"/>
        </w:rPr>
        <w:t>45</w:t>
      </w:r>
      <w:r>
        <w:rPr>
          <w:rFonts w:hint="eastAsia" w:ascii="仿宋_GB2312" w:hAnsi="Calibri" w:eastAsia="仿宋_GB2312"/>
          <w:color w:val="000000"/>
          <w:sz w:val="32"/>
          <w:szCs w:val="32"/>
        </w:rPr>
        <w:t>件，其中提起行政公益诉讼案件1件，发出诉前检察建议</w:t>
      </w:r>
      <w:r>
        <w:rPr>
          <w:rFonts w:hint="eastAsia" w:ascii="仿宋_GB2312" w:hAnsi="Calibri" w:eastAsia="仿宋_GB2312"/>
          <w:color w:val="000000"/>
          <w:sz w:val="32"/>
          <w:szCs w:val="32"/>
          <w:lang w:val="en-US" w:eastAsia="zh-CN"/>
        </w:rPr>
        <w:t>44</w:t>
      </w:r>
      <w:r>
        <w:rPr>
          <w:rFonts w:hint="eastAsia" w:ascii="仿宋_GB2312" w:hAnsi="Calibri" w:eastAsia="仿宋_GB2312"/>
          <w:color w:val="000000"/>
          <w:sz w:val="32"/>
          <w:szCs w:val="32"/>
        </w:rPr>
        <w:t>份，督促收回人防易地建设费223万余元、收回国有建设用地1100</w:t>
      </w:r>
      <w:r>
        <w:rPr>
          <w:rFonts w:hint="eastAsia" w:ascii="仿宋_GB2312" w:hAnsi="Calibri" w:eastAsia="仿宋_GB2312"/>
          <w:color w:val="000000"/>
          <w:sz w:val="32"/>
          <w:szCs w:val="32"/>
          <w:lang w:val="en-US" w:eastAsia="zh-CN"/>
        </w:rPr>
        <w:t>0</w:t>
      </w:r>
      <w:r>
        <w:rPr>
          <w:rFonts w:hint="eastAsia" w:ascii="仿宋_GB2312" w:hAnsi="Calibri" w:eastAsia="仿宋_GB2312"/>
          <w:color w:val="000000"/>
          <w:sz w:val="32"/>
          <w:szCs w:val="32"/>
        </w:rPr>
        <w:t>平方米</w:t>
      </w:r>
      <w:r>
        <w:rPr>
          <w:rFonts w:hint="eastAsia" w:ascii="仿宋_GB2312" w:hAnsi="Calibri" w:eastAsia="仿宋_GB2312"/>
          <w:color w:val="000000"/>
          <w:sz w:val="32"/>
          <w:szCs w:val="32"/>
          <w:lang w:eastAsia="zh-CN"/>
        </w:rPr>
        <w:t>；联合相关职能部门</w:t>
      </w:r>
      <w:r>
        <w:rPr>
          <w:rFonts w:hint="eastAsia" w:ascii="仿宋_GB2312" w:hAnsi="Calibri" w:eastAsia="仿宋_GB2312"/>
          <w:color w:val="000000"/>
          <w:sz w:val="32"/>
          <w:szCs w:val="32"/>
        </w:rPr>
        <w:t>整治违规网络订餐平台2个，无证取水单位2家，污染企业2家，清理河道周边违规养殖2处、垃圾10余吨，督促违法占用林地企业补植复绿1处，督促13家养猪场办理环评手续，修缮4座烈士墓地。</w:t>
      </w:r>
    </w:p>
    <w:p w14:paraId="22BF2B9B">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楷体_GB2312" w:eastAsia="楷体_GB2312"/>
          <w:b/>
          <w:bCs/>
          <w:color w:val="000000"/>
          <w:sz w:val="32"/>
          <w:szCs w:val="32"/>
        </w:rPr>
        <w:t>化解矛盾纠纷。</w:t>
      </w:r>
      <w:r>
        <w:rPr>
          <w:rFonts w:hint="eastAsia" w:ascii="仿宋_GB2312" w:hAnsi="仿宋_GB2312" w:eastAsia="仿宋_GB2312" w:cs="仿宋_GB2312"/>
          <w:sz w:val="32"/>
          <w:szCs w:val="32"/>
          <w:lang w:eastAsia="zh-CN"/>
        </w:rPr>
        <w:t>传承弘扬</w:t>
      </w:r>
      <w:r>
        <w:rPr>
          <w:rFonts w:hint="eastAsia" w:ascii="仿宋_GB2312" w:hAnsi="仿宋_GB2312" w:eastAsia="仿宋_GB2312" w:cs="仿宋_GB2312"/>
          <w:sz w:val="32"/>
          <w:szCs w:val="32"/>
        </w:rPr>
        <w:t>新时代“枫桥经验”，深入开展涉法涉诉矛盾排查化解，走街入户对涉法涉诉矛盾进行全面摸排，及时掌握信访隐患和动态。坚持检察长接访制度，对重大矛盾纠纷和信访突出问题，实行领导包案化解制。全面建成远程视频接访系统，实现了“让数据多跑路、让群众少跑腿”的目标。共受理各类信访件</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件，所有信访件均做到7日内程序性答复，3</w:t>
      </w:r>
      <w:r>
        <w:rPr>
          <w:rFonts w:hint="eastAsia" w:ascii="仿宋_GB2312" w:hAnsi="仿宋_GB2312" w:eastAsia="仿宋_GB2312" w:cs="仿宋_GB2312"/>
          <w:sz w:val="32"/>
          <w:szCs w:val="32"/>
          <w:lang w:eastAsia="zh-CN"/>
        </w:rPr>
        <w:t>个月</w:t>
      </w:r>
      <w:r>
        <w:rPr>
          <w:rFonts w:hint="eastAsia" w:ascii="仿宋_GB2312" w:hAnsi="仿宋_GB2312" w:eastAsia="仿宋_GB2312" w:cs="仿宋_GB2312"/>
          <w:sz w:val="32"/>
          <w:szCs w:val="32"/>
        </w:rPr>
        <w:t>内实体性回复。</w:t>
      </w:r>
    </w:p>
    <w:p w14:paraId="047F566B">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三、聚焦主责主业，在履行法律监督中打造</w:t>
      </w:r>
      <w:r>
        <w:rPr>
          <w:rFonts w:hint="eastAsia" w:ascii="黑体" w:hAnsi="黑体" w:eastAsia="黑体"/>
          <w:color w:val="000000"/>
          <w:sz w:val="32"/>
          <w:szCs w:val="32"/>
          <w:lang w:eastAsia="zh-CN"/>
        </w:rPr>
        <w:t>检察</w:t>
      </w:r>
      <w:r>
        <w:rPr>
          <w:rFonts w:hint="eastAsia" w:ascii="黑体" w:hAnsi="黑体" w:eastAsia="黑体"/>
          <w:color w:val="000000"/>
          <w:sz w:val="32"/>
          <w:szCs w:val="32"/>
        </w:rPr>
        <w:t>品牌</w:t>
      </w:r>
    </w:p>
    <w:p w14:paraId="41C7476B">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rPr>
          <w:rFonts w:hint="eastAsia" w:ascii="黑体" w:hAnsi="黑体" w:eastAsia="黑体"/>
          <w:color w:val="000000"/>
          <w:sz w:val="32"/>
          <w:szCs w:val="32"/>
        </w:rPr>
      </w:pPr>
      <w:r>
        <w:rPr>
          <w:rFonts w:hint="eastAsia" w:ascii="仿宋_GB2312" w:hAnsi="Calibri" w:eastAsia="仿宋_GB2312"/>
          <w:color w:val="000000"/>
          <w:sz w:val="32"/>
          <w:szCs w:val="32"/>
        </w:rPr>
        <w:t>坚持法律监督机关的宪法定位,深耕监督主业，努力让人民群众在每一个司法案件中感受到公平正义。</w:t>
      </w:r>
    </w:p>
    <w:p w14:paraId="13AC58A5">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textAlignment w:val="auto"/>
        <w:rPr>
          <w:rFonts w:hint="eastAsia" w:ascii="楷体_GB2312" w:eastAsia="楷体_GB2312"/>
          <w:color w:val="000000"/>
          <w:sz w:val="32"/>
          <w:szCs w:val="32"/>
        </w:rPr>
      </w:pPr>
      <w:r>
        <w:rPr>
          <w:rFonts w:hint="eastAsia" w:ascii="楷体_GB2312" w:eastAsia="楷体_GB2312"/>
          <w:b/>
          <w:bCs/>
          <w:color w:val="000000"/>
          <w:sz w:val="32"/>
          <w:szCs w:val="32"/>
        </w:rPr>
        <w:t>强化刑事诉讼监督。</w:t>
      </w:r>
      <w:r>
        <w:rPr>
          <w:rFonts w:hint="eastAsia" w:ascii="仿宋_GB2312" w:hAnsi="Calibri" w:eastAsia="仿宋_GB2312"/>
          <w:color w:val="000000"/>
          <w:sz w:val="32"/>
          <w:szCs w:val="32"/>
        </w:rPr>
        <w:t>加大对公安机关执法办案的监督，落实《关于办理刑事案件排除非法证据若干问题的规定》，加强对非法取证活动的调查核实和监督，确保证据的充分和合法</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准确把握抗诉条件，加强对裁判文书的审查，提高抗诉质量和效率。共依法纠正漏诉1件1人，</w:t>
      </w:r>
      <w:r>
        <w:rPr>
          <w:rFonts w:hint="eastAsia" w:ascii="仿宋_GB2312" w:hAnsi="Calibri" w:eastAsia="仿宋_GB2312"/>
          <w:color w:val="000000"/>
          <w:sz w:val="32"/>
          <w:szCs w:val="32"/>
          <w:lang w:eastAsia="zh-CN"/>
        </w:rPr>
        <w:t>监督立案</w:t>
      </w:r>
      <w:r>
        <w:rPr>
          <w:rFonts w:hint="eastAsia" w:ascii="仿宋_GB2312" w:hAnsi="Calibri" w:eastAsia="仿宋_GB2312"/>
          <w:color w:val="000000"/>
          <w:sz w:val="32"/>
          <w:szCs w:val="32"/>
          <w:lang w:val="en-US" w:eastAsia="zh-CN"/>
        </w:rPr>
        <w:t>1件1人，</w:t>
      </w:r>
      <w:r>
        <w:rPr>
          <w:rFonts w:hint="eastAsia" w:ascii="仿宋_GB2312" w:hAnsi="Calibri" w:eastAsia="仿宋_GB2312"/>
          <w:color w:val="000000"/>
          <w:sz w:val="32"/>
          <w:szCs w:val="32"/>
        </w:rPr>
        <w:t>书面纠正违法2件，抗诉</w:t>
      </w:r>
      <w:r>
        <w:rPr>
          <w:rFonts w:hint="eastAsia" w:ascii="仿宋_GB2312" w:hAnsi="Calibri" w:eastAsia="仿宋_GB2312"/>
          <w:color w:val="000000"/>
          <w:sz w:val="32"/>
          <w:szCs w:val="32"/>
          <w:lang w:val="en-US" w:eastAsia="zh-CN"/>
        </w:rPr>
        <w:t>2</w:t>
      </w:r>
      <w:r>
        <w:rPr>
          <w:rFonts w:hint="eastAsia" w:ascii="仿宋_GB2312" w:hAnsi="Calibri" w:eastAsia="仿宋_GB2312"/>
          <w:color w:val="000000"/>
          <w:sz w:val="32"/>
          <w:szCs w:val="32"/>
        </w:rPr>
        <w:t>件</w:t>
      </w:r>
      <w:r>
        <w:rPr>
          <w:rFonts w:hint="eastAsia" w:ascii="仿宋_GB2312" w:hAnsi="Calibri" w:eastAsia="仿宋_GB2312"/>
          <w:color w:val="000000"/>
          <w:sz w:val="32"/>
          <w:szCs w:val="32"/>
          <w:lang w:val="en-US" w:eastAsia="zh-CN"/>
        </w:rPr>
        <w:t>2</w:t>
      </w:r>
      <w:r>
        <w:rPr>
          <w:rFonts w:hint="eastAsia" w:ascii="仿宋_GB2312" w:hAnsi="Calibri" w:eastAsia="仿宋_GB2312"/>
          <w:color w:val="000000"/>
          <w:sz w:val="32"/>
          <w:szCs w:val="32"/>
        </w:rPr>
        <w:t>人</w:t>
      </w:r>
      <w:r>
        <w:rPr>
          <w:rFonts w:hint="eastAsia" w:ascii="仿宋_GB2312" w:hAnsi="Calibri" w:eastAsia="仿宋_GB2312"/>
          <w:color w:val="000000"/>
          <w:sz w:val="32"/>
          <w:szCs w:val="32"/>
          <w:lang w:eastAsia="zh-CN"/>
        </w:rPr>
        <w:t>，发出改进办案机制、加强案件管理类检察建议</w:t>
      </w:r>
      <w:r>
        <w:rPr>
          <w:rFonts w:hint="eastAsia" w:ascii="仿宋_GB2312" w:hAnsi="Calibri" w:eastAsia="仿宋_GB2312"/>
          <w:color w:val="000000"/>
          <w:sz w:val="32"/>
          <w:szCs w:val="32"/>
          <w:lang w:val="en-US" w:eastAsia="zh-CN"/>
        </w:rPr>
        <w:t>2份</w:t>
      </w:r>
      <w:r>
        <w:rPr>
          <w:rFonts w:hint="eastAsia" w:ascii="仿宋_GB2312" w:hAnsi="Calibri" w:eastAsia="仿宋_GB2312"/>
          <w:color w:val="000000"/>
          <w:sz w:val="32"/>
          <w:szCs w:val="32"/>
        </w:rPr>
        <w:t>。</w:t>
      </w:r>
    </w:p>
    <w:p w14:paraId="64DD482C">
      <w:pPr>
        <w:keepNext w:val="0"/>
        <w:keepLines w:val="0"/>
        <w:pageBreakBefore w:val="0"/>
        <w:widowControl/>
        <w:kinsoku/>
        <w:wordWrap/>
        <w:overflowPunct/>
        <w:topLinePunct w:val="0"/>
        <w:bidi w:val="0"/>
        <w:snapToGrid/>
        <w:spacing w:line="480" w:lineRule="exact"/>
        <w:ind w:left="0" w:leftChars="0" w:right="0" w:rightChars="0" w:firstLine="643" w:firstLineChars="200"/>
        <w:textAlignment w:val="auto"/>
        <w:rPr>
          <w:rFonts w:hint="eastAsia" w:eastAsia="仿宋_GB2312"/>
          <w:sz w:val="32"/>
          <w:szCs w:val="32"/>
        </w:rPr>
      </w:pPr>
      <w:r>
        <w:rPr>
          <w:rFonts w:hint="eastAsia" w:ascii="楷体_GB2312" w:eastAsia="楷体_GB2312"/>
          <w:b/>
          <w:bCs/>
          <w:color w:val="000000"/>
          <w:sz w:val="32"/>
          <w:szCs w:val="32"/>
        </w:rPr>
        <w:t>强化民事行政诉讼监督。</w:t>
      </w:r>
      <w:r>
        <w:rPr>
          <w:rFonts w:hint="eastAsia" w:ascii="仿宋_GB2312" w:hAnsi="Calibri" w:eastAsia="仿宋_GB2312"/>
          <w:color w:val="000000"/>
          <w:sz w:val="32"/>
          <w:szCs w:val="32"/>
        </w:rPr>
        <w:t>坚持把诉讼监督作为民事行政检察工作的</w:t>
      </w:r>
      <w:r>
        <w:rPr>
          <w:rFonts w:hint="eastAsia" w:ascii="仿宋_GB2312" w:hAnsi="Calibri" w:eastAsia="仿宋_GB2312"/>
          <w:color w:val="000000"/>
          <w:sz w:val="32"/>
          <w:szCs w:val="32"/>
          <w:lang w:eastAsia="zh-CN"/>
        </w:rPr>
        <w:t>主攻方向</w:t>
      </w:r>
      <w:r>
        <w:rPr>
          <w:rFonts w:hint="eastAsia" w:ascii="仿宋_GB2312" w:hAnsi="Calibri" w:eastAsia="仿宋_GB2312"/>
          <w:color w:val="000000"/>
          <w:sz w:val="32"/>
          <w:szCs w:val="32"/>
        </w:rPr>
        <w:t>，针对行政诉讼监督案件少、监督难、专业性强等问题，加强学习研究，准确把握监督的范围、方式和标准，增强监督的主动性和有效性</w:t>
      </w:r>
      <w:r>
        <w:rPr>
          <w:rFonts w:hint="eastAsia" w:ascii="仿宋_GB2312" w:hAnsi="Calibri" w:eastAsia="仿宋_GB2312"/>
          <w:color w:val="000000"/>
          <w:sz w:val="32"/>
          <w:szCs w:val="32"/>
          <w:lang w:eastAsia="zh-CN"/>
        </w:rPr>
        <w:t>。共</w:t>
      </w:r>
      <w:r>
        <w:rPr>
          <w:rFonts w:hint="eastAsia" w:ascii="仿宋_GB2312" w:hAnsi="Calibri" w:eastAsia="仿宋_GB2312"/>
          <w:color w:val="000000"/>
          <w:sz w:val="32"/>
          <w:szCs w:val="32"/>
        </w:rPr>
        <w:t>受理民事行政监督案件9件，立案审查9件，其中督促</w:t>
      </w:r>
      <w:r>
        <w:rPr>
          <w:rFonts w:hint="eastAsia" w:ascii="仿宋_GB2312" w:hAnsi="Calibri" w:eastAsia="仿宋_GB2312"/>
          <w:color w:val="000000"/>
          <w:sz w:val="32"/>
          <w:szCs w:val="32"/>
          <w:lang w:eastAsia="zh-CN"/>
        </w:rPr>
        <w:t>行政机关</w:t>
      </w:r>
      <w:r>
        <w:rPr>
          <w:rFonts w:hint="eastAsia" w:ascii="仿宋_GB2312" w:hAnsi="Calibri" w:eastAsia="仿宋_GB2312"/>
          <w:color w:val="000000"/>
          <w:sz w:val="32"/>
          <w:szCs w:val="32"/>
        </w:rPr>
        <w:t>履行职</w:t>
      </w:r>
      <w:r>
        <w:rPr>
          <w:rFonts w:hint="eastAsia" w:ascii="仿宋_GB2312" w:hAnsi="Calibri" w:eastAsia="仿宋_GB2312"/>
          <w:color w:val="000000"/>
          <w:sz w:val="32"/>
          <w:szCs w:val="32"/>
          <w:lang w:eastAsia="zh-CN"/>
        </w:rPr>
        <w:t>责</w:t>
      </w:r>
      <w:r>
        <w:rPr>
          <w:rFonts w:hint="eastAsia" w:ascii="仿宋_GB2312" w:hAnsi="Calibri" w:eastAsia="仿宋_GB2312"/>
          <w:color w:val="000000"/>
          <w:sz w:val="32"/>
          <w:szCs w:val="32"/>
        </w:rPr>
        <w:t>4件，民事生效裁判监督2件，民事执行监督1件，支持起诉2件。</w:t>
      </w:r>
    </w:p>
    <w:p w14:paraId="594A57E7">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3" w:firstLineChars="200"/>
        <w:textAlignment w:val="auto"/>
        <w:rPr>
          <w:rFonts w:ascii="仿宋_GB2312" w:hAnsi="Calibri" w:eastAsia="仿宋_GB2312"/>
          <w:color w:val="000000"/>
          <w:sz w:val="32"/>
          <w:szCs w:val="32"/>
        </w:rPr>
      </w:pPr>
      <w:r>
        <w:rPr>
          <w:rFonts w:hint="eastAsia" w:ascii="楷体_GB2312" w:eastAsia="楷体_GB2312"/>
          <w:b/>
          <w:bCs/>
          <w:color w:val="auto"/>
          <w:sz w:val="32"/>
          <w:szCs w:val="32"/>
        </w:rPr>
        <w:t>强化刑事执行监督。</w:t>
      </w:r>
      <w:r>
        <w:rPr>
          <w:rFonts w:hint="eastAsia" w:ascii="仿宋_GB2312" w:hAnsi="Calibri" w:eastAsia="仿宋_GB2312"/>
          <w:color w:val="auto"/>
          <w:sz w:val="32"/>
          <w:szCs w:val="32"/>
        </w:rPr>
        <w:t>依法开展驻所检察工作，向监管场所提出书面建议2次，规范监管场所的执法行为，保障在押人员的合法权益；依法开展</w:t>
      </w:r>
      <w:r>
        <w:rPr>
          <w:rFonts w:hint="eastAsia" w:ascii="仿宋_GB2312" w:hAnsi="Calibri" w:eastAsia="仿宋_GB2312"/>
          <w:color w:val="auto"/>
          <w:sz w:val="32"/>
          <w:szCs w:val="32"/>
          <w:lang w:eastAsia="zh-CN"/>
        </w:rPr>
        <w:t>监外执行检察</w:t>
      </w:r>
      <w:r>
        <w:rPr>
          <w:rFonts w:hint="eastAsia" w:ascii="仿宋_GB2312" w:hAnsi="Calibri" w:eastAsia="仿宋_GB2312"/>
          <w:color w:val="auto"/>
          <w:sz w:val="32"/>
          <w:szCs w:val="32"/>
        </w:rPr>
        <w:t>工作，先后深入到</w:t>
      </w:r>
      <w:r>
        <w:rPr>
          <w:rFonts w:hint="eastAsia" w:ascii="仿宋_GB2312" w:hAnsi="Calibri" w:eastAsia="仿宋_GB2312"/>
          <w:color w:val="auto"/>
          <w:sz w:val="32"/>
          <w:szCs w:val="32"/>
          <w:lang w:eastAsia="zh-CN"/>
        </w:rPr>
        <w:t>各</w:t>
      </w:r>
      <w:r>
        <w:rPr>
          <w:rFonts w:hint="eastAsia" w:ascii="仿宋_GB2312" w:hAnsi="Calibri" w:eastAsia="仿宋_GB2312"/>
          <w:color w:val="auto"/>
          <w:sz w:val="32"/>
          <w:szCs w:val="32"/>
        </w:rPr>
        <w:t>乡镇对</w:t>
      </w:r>
      <w:r>
        <w:rPr>
          <w:rFonts w:hint="eastAsia" w:ascii="仿宋_GB2312" w:hAnsi="Calibri" w:eastAsia="仿宋_GB2312"/>
          <w:color w:val="auto"/>
          <w:sz w:val="32"/>
          <w:szCs w:val="32"/>
          <w:lang w:eastAsia="zh-CN"/>
        </w:rPr>
        <w:t>监管机构的监外执行工作进行检查，向监管机构发出纠正违法通知书</w:t>
      </w:r>
      <w:r>
        <w:rPr>
          <w:rFonts w:hint="eastAsia" w:ascii="仿宋_GB2312" w:hAnsi="Calibri" w:eastAsia="仿宋_GB2312"/>
          <w:color w:val="auto"/>
          <w:sz w:val="32"/>
          <w:szCs w:val="32"/>
          <w:lang w:val="en-US" w:eastAsia="zh-CN"/>
        </w:rPr>
        <w:t>8份且均被采纳</w:t>
      </w:r>
      <w:r>
        <w:rPr>
          <w:rFonts w:hint="eastAsia" w:ascii="仿宋_GB2312" w:hAnsi="Calibri" w:eastAsia="仿宋_GB2312"/>
          <w:color w:val="auto"/>
          <w:sz w:val="32"/>
          <w:szCs w:val="32"/>
        </w:rPr>
        <w:t>；积极开展羁押必要性审查</w:t>
      </w:r>
      <w:r>
        <w:rPr>
          <w:rFonts w:hint="default" w:ascii="Calibri" w:hAnsi="Calibri" w:eastAsia="仿宋_GB2312" w:cs="Calibri"/>
          <w:sz w:val="32"/>
          <w:szCs w:val="32"/>
          <w:vertAlign w:val="superscript"/>
        </w:rPr>
        <w:t>④</w:t>
      </w:r>
      <w:r>
        <w:rPr>
          <w:rFonts w:hint="eastAsia" w:ascii="仿宋_GB2312" w:hAnsi="Calibri" w:eastAsia="仿宋_GB2312"/>
          <w:color w:val="auto"/>
          <w:sz w:val="32"/>
          <w:szCs w:val="32"/>
        </w:rPr>
        <w:t>工作，对逮捕后的</w:t>
      </w:r>
      <w:r>
        <w:rPr>
          <w:rFonts w:hint="eastAsia" w:ascii="仿宋_GB2312" w:hAnsi="Calibri" w:eastAsia="仿宋_GB2312"/>
          <w:color w:val="auto"/>
          <w:sz w:val="32"/>
          <w:szCs w:val="32"/>
          <w:lang w:val="en-US" w:eastAsia="zh-CN"/>
        </w:rPr>
        <w:t>30</w:t>
      </w:r>
      <w:r>
        <w:rPr>
          <w:rFonts w:hint="eastAsia" w:ascii="仿宋_GB2312" w:hAnsi="Calibri" w:eastAsia="仿宋_GB2312"/>
          <w:color w:val="auto"/>
          <w:sz w:val="32"/>
          <w:szCs w:val="32"/>
        </w:rPr>
        <w:t>名在押人员进行了羁押必要性审查，</w:t>
      </w:r>
      <w:r>
        <w:rPr>
          <w:rFonts w:hint="eastAsia" w:ascii="仿宋_GB2312" w:hAnsi="Calibri" w:eastAsia="仿宋_GB2312"/>
          <w:color w:val="auto"/>
          <w:sz w:val="32"/>
          <w:szCs w:val="32"/>
          <w:lang w:val="en-US" w:eastAsia="zh-CN"/>
        </w:rPr>
        <w:t>变更强制性措施的</w:t>
      </w:r>
      <w:r>
        <w:rPr>
          <w:rFonts w:hint="eastAsia" w:ascii="仿宋_GB2312" w:hAnsi="Calibri" w:eastAsia="仿宋_GB2312"/>
          <w:color w:val="auto"/>
          <w:sz w:val="32"/>
          <w:szCs w:val="32"/>
        </w:rPr>
        <w:t>建议</w:t>
      </w:r>
      <w:r>
        <w:rPr>
          <w:rFonts w:hint="eastAsia" w:ascii="仿宋_GB2312" w:hAnsi="Calibri" w:eastAsia="仿宋_GB2312"/>
          <w:color w:val="auto"/>
          <w:sz w:val="32"/>
          <w:szCs w:val="32"/>
          <w:lang w:eastAsia="zh-CN"/>
        </w:rPr>
        <w:t>全部被</w:t>
      </w:r>
      <w:r>
        <w:rPr>
          <w:rFonts w:hint="eastAsia" w:ascii="仿宋_GB2312" w:hAnsi="Calibri" w:eastAsia="仿宋_GB2312"/>
          <w:color w:val="auto"/>
          <w:sz w:val="32"/>
          <w:szCs w:val="32"/>
        </w:rPr>
        <w:t>办案单位采纳。</w:t>
      </w:r>
    </w:p>
    <w:p w14:paraId="4B426921">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lang w:eastAsia="zh-CN"/>
        </w:rPr>
        <w:t>四</w:t>
      </w:r>
      <w:r>
        <w:rPr>
          <w:rFonts w:hint="eastAsia" w:ascii="黑体" w:hAnsi="黑体" w:eastAsia="黑体"/>
          <w:color w:val="000000"/>
          <w:sz w:val="32"/>
          <w:szCs w:val="32"/>
        </w:rPr>
        <w:t>、</w:t>
      </w:r>
      <w:r>
        <w:rPr>
          <w:rFonts w:hint="eastAsia" w:ascii="黑体" w:hAnsi="黑体" w:eastAsia="黑体"/>
          <w:color w:val="000000"/>
          <w:sz w:val="32"/>
          <w:szCs w:val="32"/>
          <w:lang w:eastAsia="zh-CN"/>
        </w:rPr>
        <w:t>聚焦</w:t>
      </w:r>
      <w:r>
        <w:rPr>
          <w:rFonts w:hint="eastAsia" w:ascii="黑体" w:hAnsi="黑体" w:eastAsia="黑体"/>
          <w:color w:val="000000"/>
          <w:sz w:val="32"/>
          <w:szCs w:val="32"/>
        </w:rPr>
        <w:t>队伍建设，夯实</w:t>
      </w:r>
      <w:r>
        <w:rPr>
          <w:rFonts w:hint="eastAsia" w:ascii="黑体" w:hAnsi="黑体" w:eastAsia="黑体"/>
          <w:color w:val="000000"/>
          <w:sz w:val="32"/>
          <w:szCs w:val="32"/>
          <w:lang w:eastAsia="zh-CN"/>
        </w:rPr>
        <w:t>检察</w:t>
      </w:r>
      <w:r>
        <w:rPr>
          <w:rFonts w:hint="eastAsia" w:ascii="黑体" w:hAnsi="黑体" w:eastAsia="黑体"/>
          <w:color w:val="000000"/>
          <w:sz w:val="32"/>
          <w:szCs w:val="32"/>
        </w:rPr>
        <w:t>事业发展根基</w:t>
      </w:r>
    </w:p>
    <w:p w14:paraId="5090E114">
      <w:pPr>
        <w:pStyle w:val="22"/>
        <w:keepNext w:val="0"/>
        <w:keepLines w:val="0"/>
        <w:pageBreakBefore w:val="0"/>
        <w:kinsoku/>
        <w:wordWrap/>
        <w:overflowPunct/>
        <w:topLinePunct w:val="0"/>
        <w:bidi w:val="0"/>
        <w:snapToGrid/>
        <w:spacing w:line="480" w:lineRule="exact"/>
        <w:ind w:left="0" w:leftChars="0" w:right="0" w:rightChars="0" w:firstLine="640"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rPr>
        <w:t>认真贯彻习近平总书记建设“政治过硬、业务过硬、责任过硬、纪律过硬、作风过硬”政法队伍总要求，努力打造一支铁一般信仰、铁一般信念、铁一般纪律、铁一般担当的检察队伍。</w:t>
      </w:r>
    </w:p>
    <w:p w14:paraId="636D82CE">
      <w:pPr>
        <w:keepNext w:val="0"/>
        <w:keepLines w:val="0"/>
        <w:pageBreakBefore w:val="0"/>
        <w:kinsoku/>
        <w:wordWrap/>
        <w:overflowPunct/>
        <w:topLinePunct w:val="0"/>
        <w:bidi w:val="0"/>
        <w:snapToGrid/>
        <w:spacing w:line="480" w:lineRule="exact"/>
        <w:ind w:left="0" w:leftChars="0" w:right="0" w:rightChars="0" w:firstLine="643" w:firstLineChars="200"/>
        <w:jc w:val="left"/>
        <w:textAlignment w:val="auto"/>
        <w:rPr>
          <w:rFonts w:hint="eastAsia" w:ascii="仿宋_GB2312" w:hAnsi="Calibri" w:eastAsia="仿宋_GB2312"/>
          <w:color w:val="000000"/>
          <w:sz w:val="32"/>
          <w:szCs w:val="32"/>
        </w:rPr>
      </w:pPr>
      <w:r>
        <w:rPr>
          <w:rFonts w:hint="eastAsia" w:ascii="楷体_GB2312" w:eastAsia="楷体_GB2312"/>
          <w:b/>
          <w:bCs/>
          <w:color w:val="000000"/>
          <w:sz w:val="32"/>
          <w:szCs w:val="32"/>
          <w:lang w:eastAsia="zh-CN"/>
        </w:rPr>
        <w:t>深化思想政治建设。</w:t>
      </w:r>
      <w:r>
        <w:rPr>
          <w:rFonts w:hint="eastAsia" w:ascii="仿宋_GB2312" w:hAnsi="Calibri" w:eastAsia="仿宋_GB2312"/>
          <w:color w:val="000000"/>
          <w:sz w:val="32"/>
          <w:szCs w:val="32"/>
        </w:rPr>
        <w:t>深入开展“不忘初心、牢记使命”主题教育，组织干警参观毛泽东旧居，</w:t>
      </w:r>
      <w:r>
        <w:rPr>
          <w:rFonts w:hint="eastAsia" w:ascii="仿宋_GB2312" w:hAnsi="Calibri" w:eastAsia="仿宋_GB2312"/>
          <w:color w:val="000000"/>
          <w:sz w:val="32"/>
          <w:szCs w:val="32"/>
          <w:lang w:eastAsia="zh-CN"/>
        </w:rPr>
        <w:t>向</w:t>
      </w:r>
      <w:r>
        <w:rPr>
          <w:rFonts w:hint="eastAsia" w:ascii="仿宋_GB2312" w:hAnsi="Calibri" w:eastAsia="仿宋_GB2312"/>
          <w:color w:val="000000"/>
          <w:sz w:val="32"/>
          <w:szCs w:val="32"/>
        </w:rPr>
        <w:t>王</w:t>
      </w:r>
      <w:r>
        <w:rPr>
          <w:rFonts w:hint="eastAsia" w:ascii="仿宋_GB2312" w:hAnsi="Calibri" w:eastAsia="仿宋_GB2312"/>
          <w:color w:val="000000"/>
          <w:sz w:val="32"/>
          <w:szCs w:val="32"/>
          <w:lang w:eastAsia="zh-CN"/>
        </w:rPr>
        <w:t>众</w:t>
      </w:r>
      <w:r>
        <w:rPr>
          <w:rFonts w:hint="eastAsia" w:ascii="仿宋_GB2312" w:hAnsi="Calibri" w:eastAsia="仿宋_GB2312"/>
          <w:color w:val="000000"/>
          <w:sz w:val="32"/>
          <w:szCs w:val="32"/>
        </w:rPr>
        <w:t>岭烈士纪念碑进献花篮，讲革命英雄故事</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通过革命传统教育</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让检察干警牢记初心使命，坚定</w:t>
      </w:r>
      <w:r>
        <w:rPr>
          <w:rFonts w:hint="eastAsia" w:ascii="仿宋_GB2312" w:hAnsi="Calibri" w:eastAsia="仿宋_GB2312"/>
          <w:color w:val="000000"/>
          <w:sz w:val="32"/>
          <w:szCs w:val="32"/>
          <w:lang w:eastAsia="zh-CN"/>
        </w:rPr>
        <w:t>理想信念；</w:t>
      </w:r>
      <w:r>
        <w:rPr>
          <w:rFonts w:hint="eastAsia" w:ascii="仿宋_GB2312" w:hAnsi="Calibri" w:eastAsia="仿宋_GB2312"/>
          <w:color w:val="000000"/>
          <w:sz w:val="32"/>
          <w:szCs w:val="32"/>
        </w:rPr>
        <w:t>深入学习贯彻习近平新时代中国特色社会主义思想和党的十九大、十九届</w:t>
      </w:r>
      <w:r>
        <w:rPr>
          <w:rFonts w:hint="eastAsia" w:ascii="仿宋_GB2312" w:hAnsi="Calibri" w:eastAsia="仿宋_GB2312"/>
          <w:color w:val="000000"/>
          <w:sz w:val="32"/>
          <w:szCs w:val="32"/>
          <w:lang w:eastAsia="zh-CN"/>
        </w:rPr>
        <w:t>二中、三中、</w:t>
      </w:r>
      <w:r>
        <w:rPr>
          <w:rFonts w:hint="eastAsia" w:ascii="仿宋_GB2312" w:hAnsi="Calibri" w:eastAsia="仿宋_GB2312"/>
          <w:color w:val="000000"/>
          <w:sz w:val="32"/>
          <w:szCs w:val="32"/>
        </w:rPr>
        <w:t>四中全会精神，</w:t>
      </w:r>
      <w:r>
        <w:rPr>
          <w:rFonts w:hint="eastAsia" w:ascii="仿宋_GB2312" w:hAnsi="Calibri" w:eastAsia="仿宋_GB2312"/>
          <w:color w:val="000000"/>
          <w:sz w:val="32"/>
          <w:szCs w:val="32"/>
          <w:lang w:eastAsia="zh-CN"/>
        </w:rPr>
        <w:t>学习贯彻《中国共产党政法工作条例》，</w:t>
      </w:r>
      <w:r>
        <w:rPr>
          <w:rFonts w:hint="eastAsia" w:ascii="仿宋_GB2312" w:hAnsi="Calibri" w:eastAsia="仿宋_GB2312"/>
          <w:color w:val="000000"/>
          <w:sz w:val="32"/>
          <w:szCs w:val="32"/>
        </w:rPr>
        <w:t>树牢“四个意识”，坚定“四个自信”，践行“两个维护”。</w:t>
      </w:r>
    </w:p>
    <w:p w14:paraId="4F609674">
      <w:pPr>
        <w:keepNext w:val="0"/>
        <w:keepLines w:val="0"/>
        <w:pageBreakBefore w:val="0"/>
        <w:kinsoku/>
        <w:wordWrap/>
        <w:overflowPunct/>
        <w:topLinePunct w:val="0"/>
        <w:bidi w:val="0"/>
        <w:snapToGrid/>
        <w:spacing w:line="480" w:lineRule="exact"/>
        <w:ind w:left="0" w:leftChars="0" w:right="0" w:rightChars="0" w:firstLine="643" w:firstLineChars="200"/>
        <w:textAlignment w:val="auto"/>
        <w:rPr>
          <w:rFonts w:hint="eastAsia" w:ascii="仿宋_GB2312" w:hAnsi="Calibri" w:eastAsia="仿宋_GB2312"/>
          <w:color w:val="000000"/>
          <w:sz w:val="32"/>
          <w:szCs w:val="32"/>
        </w:rPr>
      </w:pPr>
      <w:r>
        <w:rPr>
          <w:rFonts w:hint="eastAsia" w:ascii="楷体_GB2312" w:eastAsia="楷体_GB2312"/>
          <w:b/>
          <w:bCs/>
          <w:color w:val="000000"/>
          <w:sz w:val="32"/>
          <w:szCs w:val="32"/>
        </w:rPr>
        <w:t>加强党风廉政建设。</w:t>
      </w:r>
      <w:r>
        <w:rPr>
          <w:rFonts w:hint="eastAsia" w:ascii="仿宋_GB2312" w:hAnsi="Calibri" w:eastAsia="仿宋_GB2312"/>
          <w:color w:val="000000"/>
          <w:sz w:val="32"/>
          <w:szCs w:val="32"/>
        </w:rPr>
        <w:t>坚决贯彻全面从严治党要求，始终把纪律和规矩挺在前面，切实履行党风廉政建设主体责任，落实“一岗双责”，</w:t>
      </w:r>
      <w:r>
        <w:rPr>
          <w:rFonts w:hint="eastAsia" w:ascii="仿宋_GB2312" w:hAnsi="Calibri" w:eastAsia="仿宋_GB2312"/>
          <w:color w:val="000000"/>
          <w:sz w:val="32"/>
          <w:szCs w:val="32"/>
          <w:lang w:eastAsia="zh-CN"/>
        </w:rPr>
        <w:t>全员</w:t>
      </w:r>
      <w:r>
        <w:rPr>
          <w:rFonts w:hint="eastAsia" w:ascii="仿宋_GB2312" w:hAnsi="Calibri" w:eastAsia="仿宋_GB2312"/>
          <w:color w:val="000000"/>
          <w:sz w:val="32"/>
          <w:szCs w:val="32"/>
        </w:rPr>
        <w:t>签订党风廉政责任状。突出抓好</w:t>
      </w:r>
      <w:r>
        <w:rPr>
          <w:rFonts w:hint="eastAsia" w:ascii="仿宋_GB2312" w:hAnsi="Calibri" w:eastAsia="仿宋_GB2312"/>
          <w:color w:val="000000"/>
          <w:sz w:val="32"/>
          <w:szCs w:val="32"/>
          <w:lang w:eastAsia="zh-CN"/>
        </w:rPr>
        <w:t>上级检察院</w:t>
      </w:r>
      <w:r>
        <w:rPr>
          <w:rFonts w:hint="eastAsia" w:ascii="仿宋_GB2312" w:hAnsi="Calibri" w:eastAsia="仿宋_GB2312"/>
          <w:color w:val="000000"/>
          <w:sz w:val="32"/>
          <w:szCs w:val="32"/>
        </w:rPr>
        <w:t>巡察反馈问题整改，做好</w:t>
      </w:r>
      <w:r>
        <w:rPr>
          <w:rFonts w:hint="eastAsia" w:ascii="仿宋_GB2312" w:hAnsi="Calibri" w:eastAsia="仿宋_GB2312"/>
          <w:color w:val="000000"/>
          <w:sz w:val="32"/>
          <w:szCs w:val="32"/>
          <w:lang w:eastAsia="zh-CN"/>
        </w:rPr>
        <w:t>巡视巡察“</w:t>
      </w:r>
      <w:r>
        <w:rPr>
          <w:rFonts w:hint="eastAsia" w:ascii="仿宋_GB2312" w:hAnsi="Calibri" w:eastAsia="仿宋_GB2312"/>
          <w:color w:val="000000"/>
          <w:sz w:val="32"/>
          <w:szCs w:val="32"/>
        </w:rPr>
        <w:t>后半篇文章</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。深入开展作风建设，坚持问题导向，敢于刀刃向内，坚决整治干部队伍中存在的“怕、慢、假、庸、散”等问题。为全院副科级以上干部建立</w:t>
      </w:r>
      <w:r>
        <w:rPr>
          <w:rFonts w:hint="eastAsia" w:ascii="仿宋_GB2312" w:hAnsi="Calibri" w:eastAsia="仿宋_GB2312"/>
          <w:color w:val="000000"/>
          <w:sz w:val="32"/>
          <w:szCs w:val="32"/>
          <w:lang w:eastAsia="zh-CN"/>
        </w:rPr>
        <w:t>并</w:t>
      </w:r>
      <w:r>
        <w:rPr>
          <w:rFonts w:hint="eastAsia" w:ascii="仿宋_GB2312" w:hAnsi="Calibri" w:eastAsia="仿宋_GB2312"/>
          <w:color w:val="000000"/>
          <w:sz w:val="32"/>
          <w:szCs w:val="32"/>
        </w:rPr>
        <w:t>完善干部廉政档案，为</w:t>
      </w:r>
      <w:r>
        <w:rPr>
          <w:rFonts w:hint="eastAsia" w:ascii="仿宋_GB2312" w:hAnsi="Calibri" w:eastAsia="仿宋_GB2312"/>
          <w:color w:val="000000"/>
          <w:sz w:val="32"/>
          <w:szCs w:val="32"/>
          <w:lang w:eastAsia="zh-CN"/>
        </w:rPr>
        <w:t>全体</w:t>
      </w:r>
      <w:r>
        <w:rPr>
          <w:rFonts w:hint="eastAsia" w:ascii="仿宋_GB2312" w:hAnsi="Calibri" w:eastAsia="仿宋_GB2312"/>
          <w:color w:val="000000"/>
          <w:sz w:val="32"/>
          <w:szCs w:val="32"/>
        </w:rPr>
        <w:t>员额检察官和检察官助理建立司法档案，实行“一人一档”“一人一册”并定期更新档案内容，确保干部廉洁从检。</w:t>
      </w:r>
    </w:p>
    <w:p w14:paraId="0401E97B">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3" w:firstLineChars="200"/>
        <w:textAlignment w:val="auto"/>
        <w:rPr>
          <w:rFonts w:hint="eastAsia" w:ascii="仿宋_GB2312" w:hAnsi="Calibri" w:eastAsia="仿宋_GB2312"/>
          <w:color w:val="000000"/>
          <w:sz w:val="32"/>
          <w:szCs w:val="32"/>
        </w:rPr>
      </w:pPr>
      <w:r>
        <w:rPr>
          <w:rFonts w:hint="eastAsia" w:ascii="楷体_GB2312" w:eastAsia="楷体_GB2312"/>
          <w:b/>
          <w:bCs/>
          <w:color w:val="000000"/>
          <w:sz w:val="32"/>
          <w:szCs w:val="32"/>
          <w:lang w:eastAsia="zh-CN"/>
        </w:rPr>
        <w:t>提升</w:t>
      </w:r>
      <w:r>
        <w:rPr>
          <w:rFonts w:hint="eastAsia" w:ascii="楷体_GB2312" w:eastAsia="楷体_GB2312"/>
          <w:b/>
          <w:bCs/>
          <w:color w:val="000000"/>
          <w:sz w:val="32"/>
          <w:szCs w:val="32"/>
        </w:rPr>
        <w:t>专业能力</w:t>
      </w:r>
      <w:r>
        <w:rPr>
          <w:rFonts w:hint="eastAsia" w:ascii="楷体_GB2312" w:eastAsia="楷体_GB2312"/>
          <w:b/>
          <w:bCs/>
          <w:color w:val="000000"/>
          <w:sz w:val="32"/>
          <w:szCs w:val="32"/>
          <w:lang w:eastAsia="zh-CN"/>
        </w:rPr>
        <w:t>水平</w:t>
      </w:r>
      <w:r>
        <w:rPr>
          <w:rFonts w:hint="eastAsia" w:ascii="楷体_GB2312" w:eastAsia="楷体_GB2312"/>
          <w:b/>
          <w:bCs/>
          <w:color w:val="000000"/>
          <w:sz w:val="32"/>
          <w:szCs w:val="32"/>
        </w:rPr>
        <w:t>。</w:t>
      </w:r>
      <w:r>
        <w:rPr>
          <w:rFonts w:hint="eastAsia" w:ascii="仿宋_GB2312" w:hAnsi="Calibri" w:eastAsia="仿宋_GB2312"/>
          <w:color w:val="000000"/>
          <w:sz w:val="32"/>
          <w:szCs w:val="32"/>
        </w:rPr>
        <w:t>加强教育培训，培养干事创业能人</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通过</w:t>
      </w:r>
      <w:r>
        <w:rPr>
          <w:rFonts w:hint="eastAsia" w:ascii="仿宋_GB2312" w:hAnsi="Calibri" w:eastAsia="仿宋_GB2312"/>
          <w:color w:val="000000"/>
          <w:sz w:val="32"/>
          <w:szCs w:val="32"/>
          <w:lang w:eastAsia="zh-CN"/>
        </w:rPr>
        <w:t>集中</w:t>
      </w:r>
      <w:r>
        <w:rPr>
          <w:rFonts w:hint="eastAsia" w:ascii="仿宋_GB2312" w:hAnsi="Calibri" w:eastAsia="仿宋_GB2312"/>
          <w:color w:val="000000"/>
          <w:sz w:val="32"/>
          <w:szCs w:val="32"/>
        </w:rPr>
        <w:t>培训、</w:t>
      </w:r>
      <w:r>
        <w:rPr>
          <w:rFonts w:hint="eastAsia" w:ascii="仿宋_GB2312" w:hAnsi="Calibri" w:eastAsia="仿宋_GB2312"/>
          <w:color w:val="000000"/>
          <w:sz w:val="32"/>
          <w:szCs w:val="32"/>
          <w:lang w:eastAsia="zh-CN"/>
        </w:rPr>
        <w:t>视频教学、</w:t>
      </w:r>
      <w:r>
        <w:rPr>
          <w:rFonts w:hint="eastAsia" w:ascii="仿宋_GB2312" w:hAnsi="Calibri" w:eastAsia="仿宋_GB2312"/>
          <w:color w:val="000000"/>
          <w:sz w:val="32"/>
          <w:szCs w:val="32"/>
        </w:rPr>
        <w:t>岗位练兵、业务竞赛等形式，</w:t>
      </w:r>
      <w:r>
        <w:rPr>
          <w:rFonts w:hint="eastAsia" w:ascii="仿宋_GB2312" w:hAnsi="Calibri" w:eastAsia="仿宋_GB2312"/>
          <w:color w:val="000000"/>
          <w:sz w:val="32"/>
          <w:szCs w:val="32"/>
          <w:lang w:eastAsia="zh-CN"/>
        </w:rPr>
        <w:t>提升</w:t>
      </w:r>
      <w:r>
        <w:rPr>
          <w:rFonts w:hint="eastAsia" w:ascii="仿宋_GB2312" w:hAnsi="Calibri" w:eastAsia="仿宋_GB2312"/>
          <w:color w:val="000000"/>
          <w:sz w:val="32"/>
          <w:szCs w:val="32"/>
        </w:rPr>
        <w:t>干警的政治、业务能力，共</w:t>
      </w:r>
      <w:r>
        <w:rPr>
          <w:rFonts w:hint="eastAsia" w:ascii="仿宋_GB2312" w:hAnsi="Calibri" w:eastAsia="仿宋_GB2312"/>
          <w:color w:val="000000"/>
          <w:sz w:val="32"/>
          <w:szCs w:val="32"/>
          <w:lang w:eastAsia="zh-CN"/>
        </w:rPr>
        <w:t>培训干警</w:t>
      </w:r>
      <w:r>
        <w:rPr>
          <w:rFonts w:hint="eastAsia" w:ascii="仿宋_GB2312" w:hAnsi="Calibri" w:eastAsia="仿宋_GB2312"/>
          <w:color w:val="000000"/>
          <w:sz w:val="32"/>
          <w:szCs w:val="32"/>
          <w:highlight w:val="none"/>
          <w:lang w:val="en-US" w:eastAsia="zh-CN"/>
        </w:rPr>
        <w:t>1</w:t>
      </w:r>
      <w:r>
        <w:rPr>
          <w:rFonts w:hint="eastAsia" w:ascii="仿宋_GB2312" w:hAnsi="Calibri" w:eastAsia="仿宋_GB2312"/>
          <w:color w:val="000000"/>
          <w:sz w:val="32"/>
          <w:szCs w:val="32"/>
          <w:highlight w:val="none"/>
        </w:rPr>
        <w:t>00余人次</w:t>
      </w:r>
      <w:r>
        <w:rPr>
          <w:rFonts w:hint="eastAsia" w:ascii="仿宋_GB2312" w:hAnsi="Calibri" w:eastAsia="仿宋_GB2312"/>
          <w:color w:val="000000"/>
          <w:sz w:val="32"/>
          <w:szCs w:val="32"/>
          <w:lang w:eastAsia="zh-CN"/>
        </w:rPr>
        <w:t>。积极参加最高检、省院、市院各业务条线精品案件、优秀法律文书、办案能手评选活动，大力培养业务尖子和办案能手</w:t>
      </w:r>
      <w:r>
        <w:rPr>
          <w:rFonts w:hint="eastAsia" w:ascii="仿宋_GB2312" w:hAnsi="Calibri" w:eastAsia="仿宋_GB2312"/>
          <w:color w:val="000000"/>
          <w:sz w:val="32"/>
          <w:szCs w:val="32"/>
        </w:rPr>
        <w:t>。</w:t>
      </w:r>
    </w:p>
    <w:p w14:paraId="57E3FE5F">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lang w:eastAsia="zh-CN"/>
        </w:rPr>
        <w:t>五</w:t>
      </w:r>
      <w:r>
        <w:rPr>
          <w:rFonts w:hint="eastAsia" w:ascii="黑体" w:hAnsi="黑体" w:eastAsia="黑体"/>
          <w:color w:val="000000"/>
          <w:sz w:val="32"/>
          <w:szCs w:val="32"/>
        </w:rPr>
        <w:t>、聚焦探索改革，不断加强和改进检察工作</w:t>
      </w:r>
    </w:p>
    <w:p w14:paraId="478AC910">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rPr>
          <w:rFonts w:hint="eastAsia" w:ascii="仿宋_GB2312" w:hAnsi="Calibri" w:eastAsia="仿宋_GB2312"/>
          <w:color w:val="000000"/>
          <w:sz w:val="32"/>
          <w:szCs w:val="32"/>
        </w:rPr>
      </w:pPr>
      <w:r>
        <w:rPr>
          <w:rFonts w:hint="eastAsia" w:ascii="仿宋_GB2312" w:hAnsi="Calibri" w:eastAsia="仿宋_GB2312"/>
          <w:color w:val="000000"/>
          <w:sz w:val="32"/>
          <w:szCs w:val="32"/>
          <w:lang w:eastAsia="zh-CN"/>
        </w:rPr>
        <w:t>坚决贯彻中央、省委和最高检决策部署，</w:t>
      </w:r>
      <w:r>
        <w:rPr>
          <w:rFonts w:hint="eastAsia" w:ascii="仿宋_GB2312" w:hAnsi="Calibri" w:eastAsia="仿宋_GB2312"/>
          <w:color w:val="000000"/>
          <w:sz w:val="32"/>
          <w:szCs w:val="32"/>
        </w:rPr>
        <w:t>增强</w:t>
      </w:r>
      <w:r>
        <w:rPr>
          <w:rFonts w:hint="eastAsia" w:ascii="仿宋_GB2312" w:hAnsi="Calibri" w:eastAsia="仿宋_GB2312"/>
          <w:color w:val="000000"/>
          <w:sz w:val="32"/>
          <w:szCs w:val="32"/>
          <w:lang w:eastAsia="zh-CN"/>
        </w:rPr>
        <w:t>改革创新</w:t>
      </w:r>
      <w:r>
        <w:rPr>
          <w:rFonts w:hint="eastAsia" w:ascii="仿宋_GB2312" w:hAnsi="Calibri" w:eastAsia="仿宋_GB2312"/>
          <w:color w:val="000000"/>
          <w:sz w:val="32"/>
          <w:szCs w:val="32"/>
        </w:rPr>
        <w:t>意识，</w:t>
      </w:r>
      <w:r>
        <w:rPr>
          <w:rFonts w:hint="eastAsia" w:ascii="仿宋_GB2312" w:hAnsi="Calibri" w:eastAsia="仿宋_GB2312"/>
          <w:color w:val="000000"/>
          <w:sz w:val="32"/>
          <w:szCs w:val="32"/>
          <w:lang w:eastAsia="zh-CN"/>
        </w:rPr>
        <w:t>深化检务公开，自觉接受社会监督，不断改进工作方法，为检察工作提质增效提供有力支撑。</w:t>
      </w:r>
    </w:p>
    <w:p w14:paraId="5909E5D2">
      <w:pPr>
        <w:keepNext w:val="0"/>
        <w:keepLines w:val="0"/>
        <w:pageBreakBefore w:val="0"/>
        <w:numPr>
          <w:ilvl w:val="0"/>
          <w:numId w:val="0"/>
        </w:numPr>
        <w:kinsoku/>
        <w:wordWrap/>
        <w:overflowPunct/>
        <w:topLinePunct w:val="0"/>
        <w:autoSpaceDE w:val="0"/>
        <w:autoSpaceDN w:val="0"/>
        <w:bidi w:val="0"/>
        <w:adjustRightInd w:val="0"/>
        <w:snapToGrid/>
        <w:spacing w:line="480" w:lineRule="exact"/>
        <w:ind w:left="0" w:leftChars="0" w:right="0" w:rightChars="0" w:firstLine="643" w:firstLineChars="200"/>
        <w:textAlignment w:val="auto"/>
        <w:rPr>
          <w:rFonts w:hint="eastAsia" w:ascii="仿宋_GB2312" w:hAnsi="Calibri" w:eastAsia="仿宋_GB2312"/>
          <w:color w:val="000000"/>
          <w:sz w:val="32"/>
          <w:szCs w:val="32"/>
        </w:rPr>
      </w:pPr>
      <w:r>
        <w:rPr>
          <w:rFonts w:hint="eastAsia" w:ascii="楷体_GB2312" w:eastAsia="楷体_GB2312"/>
          <w:b/>
          <w:bCs/>
          <w:color w:val="000000"/>
          <w:sz w:val="32"/>
          <w:szCs w:val="32"/>
          <w:lang w:eastAsia="zh-CN"/>
        </w:rPr>
        <w:t>科学谋划内设机构改革</w:t>
      </w:r>
      <w:r>
        <w:rPr>
          <w:rFonts w:hint="eastAsia" w:ascii="楷体_GB2312" w:eastAsia="楷体_GB2312"/>
          <w:b/>
          <w:bCs/>
          <w:color w:val="000000"/>
          <w:sz w:val="32"/>
          <w:szCs w:val="32"/>
        </w:rPr>
        <w:t>。</w:t>
      </w:r>
      <w:r>
        <w:rPr>
          <w:rFonts w:hint="eastAsia" w:ascii="仿宋_GB2312" w:hAnsi="Calibri" w:eastAsia="仿宋_GB2312"/>
          <w:color w:val="000000"/>
          <w:sz w:val="32"/>
          <w:szCs w:val="32"/>
        </w:rPr>
        <w:t>依据省检察院、省编办下发的“三定方案”，及时按“大部制”要求将内设机构整合为“四部一室”，保留司法警察大队。明确了全院3</w:t>
      </w:r>
      <w:r>
        <w:rPr>
          <w:rFonts w:hint="eastAsia" w:ascii="仿宋_GB2312" w:hAnsi="Calibri" w:eastAsia="仿宋_GB2312"/>
          <w:color w:val="000000"/>
          <w:sz w:val="32"/>
          <w:szCs w:val="32"/>
          <w:lang w:val="en-US" w:eastAsia="zh-CN"/>
        </w:rPr>
        <w:t>0</w:t>
      </w:r>
      <w:r>
        <w:rPr>
          <w:rFonts w:hint="eastAsia" w:ascii="仿宋_GB2312" w:hAnsi="Calibri" w:eastAsia="仿宋_GB2312"/>
          <w:color w:val="000000"/>
          <w:sz w:val="32"/>
          <w:szCs w:val="32"/>
        </w:rPr>
        <w:t>名在编干警的岗位和职责，</w:t>
      </w:r>
      <w:r>
        <w:rPr>
          <w:rFonts w:hint="eastAsia" w:ascii="仿宋_GB2312" w:hAnsi="Calibri" w:eastAsia="仿宋_GB2312"/>
          <w:color w:val="000000"/>
          <w:sz w:val="32"/>
          <w:szCs w:val="32"/>
          <w:lang w:eastAsia="zh-CN"/>
        </w:rPr>
        <w:t>将</w:t>
      </w:r>
      <w:r>
        <w:rPr>
          <w:rFonts w:hint="eastAsia" w:ascii="仿宋_GB2312" w:hAnsi="Calibri" w:eastAsia="仿宋_GB2312"/>
          <w:color w:val="000000"/>
          <w:sz w:val="32"/>
          <w:szCs w:val="32"/>
        </w:rPr>
        <w:t>新入职的1</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名聘用制书记员编入专业办案</w:t>
      </w:r>
      <w:r>
        <w:rPr>
          <w:rFonts w:hint="eastAsia" w:ascii="仿宋_GB2312" w:hAnsi="Calibri" w:eastAsia="仿宋_GB2312"/>
          <w:color w:val="000000"/>
          <w:sz w:val="32"/>
          <w:szCs w:val="32"/>
          <w:lang w:eastAsia="zh-CN"/>
        </w:rPr>
        <w:t>团队</w:t>
      </w:r>
      <w:r>
        <w:rPr>
          <w:rFonts w:hint="eastAsia" w:ascii="仿宋_GB2312" w:hAnsi="Calibri" w:eastAsia="仿宋_GB2312"/>
          <w:color w:val="000000"/>
          <w:sz w:val="32"/>
          <w:szCs w:val="32"/>
        </w:rPr>
        <w:t>。改革后，内设机构得到精简，一线办案力量得到加强，司法责任制改革的成果得到进一步巩固。</w:t>
      </w:r>
    </w:p>
    <w:p w14:paraId="3C53E0EF">
      <w:pPr>
        <w:keepNext w:val="0"/>
        <w:keepLines w:val="0"/>
        <w:pageBreakBefore w:val="0"/>
        <w:numPr>
          <w:ilvl w:val="0"/>
          <w:numId w:val="0"/>
        </w:numPr>
        <w:kinsoku/>
        <w:wordWrap/>
        <w:overflowPunct/>
        <w:topLinePunct w:val="0"/>
        <w:autoSpaceDE w:val="0"/>
        <w:autoSpaceDN w:val="0"/>
        <w:bidi w:val="0"/>
        <w:adjustRightInd w:val="0"/>
        <w:snapToGrid/>
        <w:spacing w:line="480" w:lineRule="exact"/>
        <w:ind w:left="0" w:leftChars="0" w:right="0" w:rightChars="0" w:firstLine="643" w:firstLineChars="200"/>
        <w:textAlignment w:val="auto"/>
        <w:rPr>
          <w:rFonts w:hint="eastAsia" w:ascii="仿宋_GB2312" w:hAnsi="Calibri" w:eastAsia="仿宋_GB2312"/>
          <w:color w:val="000000"/>
          <w:sz w:val="32"/>
          <w:szCs w:val="32"/>
        </w:rPr>
      </w:pPr>
      <w:r>
        <w:rPr>
          <w:rFonts w:hint="eastAsia" w:ascii="楷体_GB2312" w:eastAsia="楷体_GB2312"/>
          <w:b/>
          <w:bCs/>
          <w:color w:val="000000"/>
          <w:sz w:val="32"/>
          <w:szCs w:val="32"/>
          <w:lang w:eastAsia="zh-CN"/>
        </w:rPr>
        <w:t>不断加强司法规范化。</w:t>
      </w:r>
      <w:r>
        <w:rPr>
          <w:rFonts w:hint="eastAsia" w:ascii="仿宋_GB2312" w:hAnsi="Calibri" w:eastAsia="仿宋_GB2312"/>
          <w:color w:val="000000"/>
          <w:sz w:val="32"/>
          <w:szCs w:val="32"/>
        </w:rPr>
        <w:t>实行案件集中统一管理，依托统一业务系统开展办案流程监控，针对存在的不规范问题，督促整改落实，不断规范司法行为。落实案件质量评查制度，组织开展</w:t>
      </w:r>
      <w:r>
        <w:rPr>
          <w:rFonts w:hint="eastAsia" w:ascii="仿宋_GB2312" w:hAnsi="Calibri" w:eastAsia="仿宋_GB2312"/>
          <w:color w:val="000000"/>
          <w:sz w:val="32"/>
          <w:szCs w:val="32"/>
          <w:lang w:eastAsia="zh-CN"/>
        </w:rPr>
        <w:t>案件质量</w:t>
      </w:r>
      <w:r>
        <w:rPr>
          <w:rFonts w:hint="eastAsia" w:ascii="仿宋_GB2312" w:hAnsi="Calibri" w:eastAsia="仿宋_GB2312"/>
          <w:color w:val="000000"/>
          <w:sz w:val="32"/>
          <w:szCs w:val="32"/>
        </w:rPr>
        <w:t>常规抽查、专项评查、重点评查，</w:t>
      </w:r>
      <w:r>
        <w:rPr>
          <w:rFonts w:hint="eastAsia" w:ascii="仿宋_GB2312" w:hAnsi="Calibri" w:eastAsia="仿宋_GB2312"/>
          <w:color w:val="000000"/>
          <w:sz w:val="32"/>
          <w:szCs w:val="32"/>
          <w:lang w:eastAsia="zh-CN"/>
        </w:rPr>
        <w:t>突出对不捕不诉案件、涉黑涉恶案件的监督审查，</w:t>
      </w:r>
      <w:r>
        <w:rPr>
          <w:rFonts w:hint="eastAsia" w:ascii="仿宋_GB2312" w:hAnsi="Calibri" w:eastAsia="仿宋_GB2312"/>
          <w:color w:val="000000"/>
          <w:sz w:val="32"/>
          <w:szCs w:val="32"/>
        </w:rPr>
        <w:t>防止违规滥权</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共</w:t>
      </w:r>
      <w:r>
        <w:rPr>
          <w:rFonts w:hint="eastAsia" w:ascii="仿宋_GB2312" w:hAnsi="Calibri" w:eastAsia="仿宋_GB2312"/>
          <w:color w:val="000000"/>
          <w:sz w:val="32"/>
          <w:szCs w:val="32"/>
          <w:lang w:eastAsia="zh-CN"/>
        </w:rPr>
        <w:t>交叉评查案件</w:t>
      </w:r>
      <w:r>
        <w:rPr>
          <w:rFonts w:hint="eastAsia" w:ascii="仿宋_GB2312" w:hAnsi="Calibri" w:eastAsia="仿宋_GB2312"/>
          <w:color w:val="000000"/>
          <w:sz w:val="32"/>
          <w:szCs w:val="32"/>
          <w:lang w:val="en-US" w:eastAsia="zh-CN"/>
        </w:rPr>
        <w:t>68件</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同时将</w:t>
      </w:r>
      <w:r>
        <w:rPr>
          <w:rFonts w:hint="eastAsia" w:ascii="仿宋_GB2312" w:hAnsi="Calibri" w:eastAsia="仿宋_GB2312"/>
          <w:color w:val="000000"/>
          <w:sz w:val="32"/>
          <w:szCs w:val="32"/>
        </w:rPr>
        <w:t>评查结果与检察官的年终绩效考核挂钩，倒逼办案质效提升。</w:t>
      </w:r>
    </w:p>
    <w:p w14:paraId="31933886">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3" w:firstLineChars="200"/>
        <w:textAlignment w:val="auto"/>
        <w:rPr>
          <w:rFonts w:hint="eastAsia" w:ascii="仿宋_GB2312" w:hAnsi="Calibri" w:eastAsia="仿宋_GB2312"/>
          <w:color w:val="000000"/>
          <w:sz w:val="32"/>
          <w:szCs w:val="32"/>
        </w:rPr>
      </w:pPr>
      <w:r>
        <w:rPr>
          <w:rFonts w:hint="eastAsia" w:ascii="楷体_GB2312" w:eastAsia="楷体_GB2312"/>
          <w:b/>
          <w:bCs/>
          <w:color w:val="000000"/>
          <w:sz w:val="32"/>
          <w:szCs w:val="32"/>
          <w:lang w:eastAsia="zh-CN"/>
        </w:rPr>
        <w:t>深入推进检务公开。</w:t>
      </w:r>
      <w:r>
        <w:rPr>
          <w:rFonts w:hint="eastAsia" w:ascii="仿宋_GB2312" w:hAnsi="Calibri" w:eastAsia="仿宋_GB2312"/>
          <w:color w:val="000000"/>
          <w:sz w:val="32"/>
          <w:szCs w:val="32"/>
          <w:lang w:eastAsia="zh-CN"/>
        </w:rPr>
        <w:t>共通过网络</w:t>
      </w:r>
      <w:r>
        <w:rPr>
          <w:rFonts w:hint="eastAsia" w:ascii="仿宋_GB2312" w:hAnsi="Calibri" w:eastAsia="仿宋_GB2312"/>
          <w:color w:val="000000"/>
          <w:sz w:val="32"/>
          <w:szCs w:val="32"/>
        </w:rPr>
        <w:t>公开重要案件信息</w:t>
      </w:r>
      <w:r>
        <w:rPr>
          <w:rFonts w:hint="eastAsia" w:ascii="仿宋_GB2312" w:hAnsi="Calibri" w:eastAsia="仿宋_GB2312"/>
          <w:color w:val="000000"/>
          <w:sz w:val="32"/>
          <w:szCs w:val="32"/>
          <w:lang w:val="en-US" w:eastAsia="zh-CN"/>
        </w:rPr>
        <w:t>27</w:t>
      </w:r>
      <w:r>
        <w:rPr>
          <w:rFonts w:hint="eastAsia" w:ascii="仿宋_GB2312" w:hAnsi="Calibri" w:eastAsia="仿宋_GB2312"/>
          <w:color w:val="000000"/>
          <w:sz w:val="32"/>
          <w:szCs w:val="32"/>
        </w:rPr>
        <w:t>条、法律文书</w:t>
      </w:r>
      <w:r>
        <w:rPr>
          <w:rFonts w:hint="eastAsia" w:ascii="仿宋_GB2312" w:hAnsi="Calibri" w:eastAsia="仿宋_GB2312"/>
          <w:color w:val="000000"/>
          <w:sz w:val="32"/>
          <w:szCs w:val="32"/>
          <w:lang w:val="en-US" w:eastAsia="zh-CN"/>
        </w:rPr>
        <w:t>217</w:t>
      </w:r>
      <w:r>
        <w:rPr>
          <w:rFonts w:hint="eastAsia" w:ascii="仿宋_GB2312" w:hAnsi="Calibri" w:eastAsia="仿宋_GB2312"/>
          <w:color w:val="000000"/>
          <w:sz w:val="32"/>
          <w:szCs w:val="32"/>
        </w:rPr>
        <w:t>份、程序性信息</w:t>
      </w:r>
      <w:r>
        <w:rPr>
          <w:rFonts w:hint="eastAsia" w:ascii="仿宋_GB2312" w:hAnsi="Calibri" w:eastAsia="仿宋_GB2312"/>
          <w:color w:val="000000"/>
          <w:sz w:val="32"/>
          <w:szCs w:val="32"/>
          <w:lang w:val="en-US" w:eastAsia="zh-CN"/>
        </w:rPr>
        <w:t>428</w:t>
      </w:r>
      <w:r>
        <w:rPr>
          <w:rFonts w:hint="eastAsia" w:ascii="仿宋_GB2312" w:hAnsi="Calibri" w:eastAsia="仿宋_GB2312"/>
          <w:color w:val="000000"/>
          <w:sz w:val="32"/>
          <w:szCs w:val="32"/>
        </w:rPr>
        <w:t>条，接待律师、诉讼代理人申请阅卷</w:t>
      </w:r>
      <w:r>
        <w:rPr>
          <w:rFonts w:hint="eastAsia" w:ascii="仿宋_GB2312" w:hAnsi="Calibri" w:eastAsia="仿宋_GB2312"/>
          <w:color w:val="000000"/>
          <w:sz w:val="32"/>
          <w:szCs w:val="32"/>
          <w:lang w:val="en-US" w:eastAsia="zh-CN"/>
        </w:rPr>
        <w:t>7</w:t>
      </w:r>
      <w:r>
        <w:rPr>
          <w:rFonts w:hint="eastAsia" w:ascii="仿宋_GB2312" w:hAnsi="Calibri" w:eastAsia="仿宋_GB2312"/>
          <w:color w:val="000000"/>
          <w:sz w:val="32"/>
          <w:szCs w:val="32"/>
        </w:rPr>
        <w:t>3人次</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通过门户网站、“两微一端”等自媒体及时发布检察工作</w:t>
      </w:r>
      <w:r>
        <w:rPr>
          <w:rFonts w:hint="eastAsia" w:ascii="仿宋_GB2312" w:hAnsi="Calibri" w:eastAsia="仿宋_GB2312"/>
          <w:color w:val="000000"/>
          <w:sz w:val="32"/>
          <w:szCs w:val="32"/>
          <w:highlight w:val="none"/>
        </w:rPr>
        <w:t>动态</w:t>
      </w:r>
      <w:r>
        <w:rPr>
          <w:rFonts w:hint="eastAsia" w:ascii="仿宋_GB2312" w:hAnsi="Calibri" w:eastAsia="仿宋_GB2312"/>
          <w:color w:val="000000"/>
          <w:sz w:val="32"/>
          <w:szCs w:val="32"/>
          <w:highlight w:val="none"/>
          <w:lang w:val="en-US" w:eastAsia="zh-CN"/>
        </w:rPr>
        <w:t>80余条</w:t>
      </w:r>
      <w:r>
        <w:rPr>
          <w:rFonts w:hint="eastAsia" w:ascii="仿宋_GB2312" w:hAnsi="Calibri" w:eastAsia="仿宋_GB2312"/>
          <w:color w:val="000000"/>
          <w:sz w:val="32"/>
          <w:szCs w:val="32"/>
          <w:lang w:val="en-US" w:eastAsia="zh-CN"/>
        </w:rPr>
        <w:t>。</w:t>
      </w:r>
      <w:r>
        <w:rPr>
          <w:rFonts w:hint="eastAsia" w:ascii="仿宋_GB2312" w:hAnsi="Calibri" w:eastAsia="仿宋_GB2312"/>
          <w:color w:val="000000"/>
          <w:sz w:val="32"/>
          <w:szCs w:val="32"/>
        </w:rPr>
        <w:t>召开</w:t>
      </w:r>
      <w:r>
        <w:rPr>
          <w:rFonts w:hint="eastAsia" w:ascii="仿宋_GB2312" w:hAnsi="Calibri" w:eastAsia="仿宋_GB2312"/>
          <w:color w:val="000000"/>
          <w:sz w:val="32"/>
          <w:szCs w:val="32"/>
          <w:lang w:eastAsia="zh-CN"/>
        </w:rPr>
        <w:t>公益诉讼</w:t>
      </w:r>
      <w:r>
        <w:rPr>
          <w:rFonts w:hint="eastAsia" w:ascii="仿宋_GB2312" w:hAnsi="Calibri" w:eastAsia="仿宋_GB2312"/>
          <w:color w:val="000000"/>
          <w:sz w:val="32"/>
          <w:szCs w:val="32"/>
        </w:rPr>
        <w:t>新闻发布会</w:t>
      </w:r>
      <w:r>
        <w:rPr>
          <w:rFonts w:hint="eastAsia" w:ascii="仿宋_GB2312" w:hAnsi="Calibri" w:eastAsia="仿宋_GB2312"/>
          <w:color w:val="000000"/>
          <w:sz w:val="32"/>
          <w:szCs w:val="32"/>
          <w:lang w:val="en-US" w:eastAsia="zh-CN"/>
        </w:rPr>
        <w:t>1次</w:t>
      </w:r>
      <w:r>
        <w:rPr>
          <w:rFonts w:hint="eastAsia" w:ascii="仿宋_GB2312" w:hAnsi="Calibri" w:eastAsia="仿宋_GB2312"/>
          <w:color w:val="000000"/>
          <w:sz w:val="32"/>
          <w:szCs w:val="32"/>
          <w:lang w:eastAsia="zh-CN"/>
        </w:rPr>
        <w:t>、座谈推介会</w:t>
      </w:r>
      <w:r>
        <w:rPr>
          <w:rFonts w:hint="eastAsia" w:ascii="仿宋_GB2312" w:hAnsi="Calibri" w:eastAsia="仿宋_GB2312"/>
          <w:color w:val="000000"/>
          <w:sz w:val="32"/>
          <w:szCs w:val="32"/>
          <w:lang w:val="en-US" w:eastAsia="zh-CN"/>
        </w:rPr>
        <w:t>1次，</w:t>
      </w:r>
      <w:r>
        <w:rPr>
          <w:rFonts w:hint="eastAsia" w:ascii="仿宋_GB2312" w:hAnsi="Calibri" w:eastAsia="仿宋_GB2312"/>
          <w:color w:val="000000"/>
          <w:sz w:val="32"/>
          <w:szCs w:val="32"/>
        </w:rPr>
        <w:t>向社会公布公益诉讼工作开展情况。</w:t>
      </w:r>
      <w:r>
        <w:rPr>
          <w:rFonts w:hint="eastAsia" w:ascii="仿宋_GB2312" w:hAnsi="Calibri" w:eastAsia="仿宋_GB2312"/>
          <w:color w:val="000000"/>
          <w:sz w:val="32"/>
          <w:szCs w:val="32"/>
          <w:lang w:eastAsia="zh-CN"/>
        </w:rPr>
        <w:t>完善</w:t>
      </w:r>
      <w:r>
        <w:rPr>
          <w:rFonts w:hint="eastAsia" w:ascii="仿宋_GB2312" w:hAnsi="Calibri" w:eastAsia="仿宋_GB2312"/>
          <w:color w:val="000000"/>
          <w:sz w:val="32"/>
          <w:szCs w:val="32"/>
        </w:rPr>
        <w:t>12309检察服务中心</w:t>
      </w:r>
      <w:r>
        <w:rPr>
          <w:rFonts w:hint="default" w:ascii="Calibri" w:hAnsi="Calibri" w:eastAsia="仿宋_GB2312" w:cs="Calibri"/>
          <w:sz w:val="32"/>
          <w:szCs w:val="32"/>
          <w:vertAlign w:val="superscript"/>
        </w:rPr>
        <w:t>⑤</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打造</w:t>
      </w:r>
      <w:r>
        <w:rPr>
          <w:rFonts w:hint="eastAsia" w:ascii="仿宋_GB2312" w:hAnsi="Calibri" w:eastAsia="仿宋_GB2312"/>
          <w:color w:val="000000"/>
          <w:sz w:val="32"/>
          <w:szCs w:val="32"/>
        </w:rPr>
        <w:t>一站式</w:t>
      </w:r>
      <w:r>
        <w:rPr>
          <w:rFonts w:hint="eastAsia" w:ascii="仿宋_GB2312" w:hAnsi="Calibri" w:eastAsia="仿宋_GB2312"/>
          <w:color w:val="000000"/>
          <w:sz w:val="32"/>
          <w:szCs w:val="32"/>
          <w:lang w:eastAsia="zh-CN"/>
        </w:rPr>
        <w:t>检察</w:t>
      </w:r>
      <w:r>
        <w:rPr>
          <w:rFonts w:hint="eastAsia" w:ascii="仿宋_GB2312" w:hAnsi="Calibri" w:eastAsia="仿宋_GB2312"/>
          <w:color w:val="000000"/>
          <w:sz w:val="32"/>
          <w:szCs w:val="32"/>
        </w:rPr>
        <w:t>服务</w:t>
      </w:r>
      <w:r>
        <w:rPr>
          <w:rFonts w:hint="eastAsia" w:ascii="仿宋_GB2312" w:hAnsi="Calibri" w:eastAsia="仿宋_GB2312"/>
          <w:color w:val="000000"/>
          <w:sz w:val="32"/>
          <w:szCs w:val="32"/>
          <w:lang w:eastAsia="zh-CN"/>
        </w:rPr>
        <w:t>平台</w:t>
      </w:r>
      <w:r>
        <w:rPr>
          <w:rFonts w:hint="eastAsia" w:ascii="仿宋_GB2312" w:hAnsi="Calibri" w:eastAsia="仿宋_GB2312"/>
          <w:color w:val="000000"/>
          <w:sz w:val="32"/>
          <w:szCs w:val="32"/>
        </w:rPr>
        <w:t>。</w:t>
      </w:r>
    </w:p>
    <w:p w14:paraId="284A17B8">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3" w:firstLineChars="200"/>
        <w:textAlignment w:val="auto"/>
        <w:rPr>
          <w:rFonts w:hint="eastAsia" w:ascii="仿宋_GB2312" w:hAnsi="Calibri" w:eastAsia="仿宋_GB2312"/>
          <w:color w:val="000000"/>
          <w:sz w:val="32"/>
          <w:szCs w:val="32"/>
          <w:lang w:eastAsia="zh-CN"/>
        </w:rPr>
      </w:pPr>
      <w:r>
        <w:rPr>
          <w:rFonts w:hint="eastAsia" w:ascii="楷体_GB2312" w:eastAsia="楷体_GB2312"/>
          <w:b/>
          <w:bCs/>
          <w:color w:val="000000"/>
          <w:sz w:val="32"/>
          <w:szCs w:val="32"/>
          <w:lang w:eastAsia="zh-CN"/>
        </w:rPr>
        <w:t>自觉接受各界监督。</w:t>
      </w:r>
      <w:r>
        <w:rPr>
          <w:rFonts w:hint="eastAsia" w:ascii="仿宋_GB2312" w:hAnsi="Calibri" w:eastAsia="仿宋_GB2312"/>
          <w:color w:val="000000"/>
          <w:sz w:val="32"/>
          <w:szCs w:val="32"/>
        </w:rPr>
        <w:t>主动向</w:t>
      </w:r>
      <w:r>
        <w:rPr>
          <w:rFonts w:hint="eastAsia" w:ascii="仿宋_GB2312" w:hAnsi="Calibri" w:eastAsia="仿宋_GB2312"/>
          <w:color w:val="000000"/>
          <w:sz w:val="32"/>
          <w:szCs w:val="32"/>
          <w:lang w:eastAsia="zh-CN"/>
        </w:rPr>
        <w:t>县委、县</w:t>
      </w:r>
      <w:r>
        <w:rPr>
          <w:rFonts w:hint="eastAsia" w:ascii="仿宋_GB2312" w:hAnsi="Calibri" w:eastAsia="仿宋_GB2312"/>
          <w:color w:val="000000"/>
          <w:sz w:val="32"/>
          <w:szCs w:val="32"/>
        </w:rPr>
        <w:t>人大报告工作，认真梳理人大代表、政协委员及社会各界对检察工作的意见和建议，</w:t>
      </w:r>
      <w:r>
        <w:rPr>
          <w:rFonts w:hint="eastAsia" w:ascii="仿宋_GB2312" w:hAnsi="Calibri" w:eastAsia="仿宋_GB2312"/>
          <w:color w:val="000000"/>
          <w:sz w:val="32"/>
          <w:szCs w:val="32"/>
          <w:lang w:eastAsia="zh-CN"/>
        </w:rPr>
        <w:t>并</w:t>
      </w:r>
      <w:r>
        <w:rPr>
          <w:rFonts w:hint="eastAsia" w:ascii="仿宋_GB2312" w:hAnsi="Calibri" w:eastAsia="仿宋_GB2312"/>
          <w:color w:val="000000"/>
          <w:sz w:val="32"/>
          <w:szCs w:val="32"/>
        </w:rPr>
        <w:t>逐项整改落实</w:t>
      </w:r>
      <w:r>
        <w:rPr>
          <w:rFonts w:hint="eastAsia" w:ascii="仿宋_GB2312" w:hAnsi="Calibri" w:eastAsia="仿宋_GB2312"/>
          <w:color w:val="000000"/>
          <w:sz w:val="32"/>
          <w:szCs w:val="32"/>
          <w:lang w:eastAsia="zh-CN"/>
        </w:rPr>
        <w:t>，自觉接受人民群众及新闻媒体的监督</w:t>
      </w:r>
      <w:r>
        <w:rPr>
          <w:rFonts w:hint="eastAsia" w:ascii="仿宋_GB2312" w:hAnsi="Calibri" w:eastAsia="仿宋_GB2312"/>
          <w:color w:val="000000"/>
          <w:sz w:val="32"/>
          <w:szCs w:val="32"/>
        </w:rPr>
        <w:t>。开展“</w:t>
      </w:r>
      <w:r>
        <w:rPr>
          <w:rFonts w:hint="eastAsia" w:ascii="仿宋_GB2312" w:hAnsi="Calibri" w:eastAsia="仿宋_GB2312"/>
          <w:color w:val="000000"/>
          <w:sz w:val="32"/>
          <w:szCs w:val="32"/>
          <w:lang w:eastAsia="zh-CN"/>
        </w:rPr>
        <w:t>携手关爱，共护明天</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等</w:t>
      </w:r>
      <w:r>
        <w:rPr>
          <w:rFonts w:hint="eastAsia" w:ascii="仿宋_GB2312" w:hAnsi="Calibri" w:eastAsia="仿宋_GB2312"/>
          <w:color w:val="000000"/>
          <w:sz w:val="32"/>
          <w:szCs w:val="32"/>
          <w:lang w:val="en-US" w:eastAsia="zh-CN"/>
        </w:rPr>
        <w:t>4个</w:t>
      </w:r>
      <w:r>
        <w:rPr>
          <w:rFonts w:hint="eastAsia" w:ascii="仿宋_GB2312" w:hAnsi="Calibri" w:eastAsia="仿宋_GB2312"/>
          <w:color w:val="000000"/>
          <w:sz w:val="32"/>
          <w:szCs w:val="32"/>
        </w:rPr>
        <w:t>主题检察开放日活动，</w:t>
      </w:r>
      <w:r>
        <w:rPr>
          <w:rFonts w:hint="eastAsia" w:ascii="仿宋_GB2312" w:hAnsi="Calibri" w:eastAsia="仿宋_GB2312"/>
          <w:color w:val="000000"/>
          <w:sz w:val="32"/>
          <w:szCs w:val="32"/>
          <w:lang w:eastAsia="zh-CN"/>
        </w:rPr>
        <w:t>共</w:t>
      </w:r>
      <w:r>
        <w:rPr>
          <w:rFonts w:hint="eastAsia" w:ascii="仿宋_GB2312" w:hAnsi="Calibri" w:eastAsia="仿宋_GB2312"/>
          <w:color w:val="000000"/>
          <w:sz w:val="32"/>
          <w:szCs w:val="32"/>
        </w:rPr>
        <w:t>邀请</w:t>
      </w:r>
      <w:r>
        <w:rPr>
          <w:rFonts w:hint="eastAsia" w:ascii="仿宋_GB2312" w:hAnsi="Calibri" w:eastAsia="仿宋_GB2312"/>
          <w:color w:val="000000"/>
          <w:sz w:val="32"/>
          <w:szCs w:val="32"/>
          <w:lang w:eastAsia="zh-CN"/>
        </w:rPr>
        <w:t>近</w:t>
      </w:r>
      <w:r>
        <w:rPr>
          <w:rFonts w:hint="eastAsia" w:ascii="仿宋_GB2312" w:hAnsi="Calibri" w:eastAsia="仿宋_GB2312"/>
          <w:color w:val="000000"/>
          <w:sz w:val="32"/>
          <w:szCs w:val="32"/>
          <w:lang w:val="en-US" w:eastAsia="zh-CN"/>
        </w:rPr>
        <w:t>100</w:t>
      </w:r>
      <w:r>
        <w:rPr>
          <w:rFonts w:hint="eastAsia" w:ascii="仿宋_GB2312" w:hAnsi="Calibri" w:eastAsia="仿宋_GB2312"/>
          <w:color w:val="000000"/>
          <w:sz w:val="32"/>
          <w:szCs w:val="32"/>
          <w:lang w:eastAsia="zh-CN"/>
        </w:rPr>
        <w:t>名</w:t>
      </w:r>
      <w:r>
        <w:rPr>
          <w:rFonts w:hint="eastAsia" w:ascii="仿宋_GB2312" w:hAnsi="Calibri" w:eastAsia="仿宋_GB2312"/>
          <w:color w:val="000000"/>
          <w:sz w:val="32"/>
          <w:szCs w:val="32"/>
        </w:rPr>
        <w:t>人大代表、政协委员</w:t>
      </w:r>
      <w:r>
        <w:rPr>
          <w:rFonts w:hint="eastAsia" w:ascii="仿宋_GB2312" w:hAnsi="Calibri" w:eastAsia="仿宋_GB2312"/>
          <w:color w:val="000000"/>
          <w:sz w:val="32"/>
          <w:szCs w:val="32"/>
          <w:lang w:eastAsia="zh-CN"/>
        </w:rPr>
        <w:t>、劳动者代表、企业家代表、教师代表</w:t>
      </w:r>
      <w:r>
        <w:rPr>
          <w:rFonts w:hint="eastAsia" w:ascii="仿宋_GB2312" w:hAnsi="Calibri" w:eastAsia="仿宋_GB2312"/>
          <w:color w:val="000000"/>
          <w:sz w:val="32"/>
          <w:szCs w:val="32"/>
        </w:rPr>
        <w:t>走进检察</w:t>
      </w:r>
      <w:r>
        <w:rPr>
          <w:rFonts w:hint="eastAsia" w:ascii="仿宋_GB2312" w:hAnsi="Calibri" w:eastAsia="仿宋_GB2312"/>
          <w:color w:val="000000"/>
          <w:sz w:val="32"/>
          <w:szCs w:val="32"/>
          <w:lang w:eastAsia="zh-CN"/>
        </w:rPr>
        <w:t>院</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了解检察机关工作运行机制、检察职能职责</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邀请</w:t>
      </w:r>
      <w:r>
        <w:rPr>
          <w:rFonts w:hint="eastAsia" w:ascii="仿宋_GB2312" w:hAnsi="Calibri" w:eastAsia="仿宋_GB2312"/>
          <w:color w:val="000000"/>
          <w:sz w:val="32"/>
          <w:szCs w:val="32"/>
          <w:lang w:val="en-US" w:eastAsia="zh-CN"/>
        </w:rPr>
        <w:t>2名</w:t>
      </w:r>
      <w:r>
        <w:rPr>
          <w:rFonts w:hint="eastAsia" w:ascii="仿宋_GB2312" w:hAnsi="Calibri" w:eastAsia="仿宋_GB2312"/>
          <w:color w:val="000000"/>
          <w:sz w:val="32"/>
          <w:szCs w:val="32"/>
          <w:lang w:eastAsia="zh-CN"/>
        </w:rPr>
        <w:t>人民监督员监督办案，监督检察权力运行，提升司法公信力。</w:t>
      </w:r>
    </w:p>
    <w:p w14:paraId="4C709C4D">
      <w:pPr>
        <w:keepNext w:val="0"/>
        <w:keepLines w:val="0"/>
        <w:pageBreakBefore w:val="0"/>
        <w:kinsoku/>
        <w:wordWrap/>
        <w:overflowPunct/>
        <w:topLinePunct w:val="0"/>
        <w:bidi w:val="0"/>
        <w:snapToGrid/>
        <w:spacing w:line="48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_GB2312" w:hAnsi="Calibri" w:eastAsia="仿宋_GB2312"/>
          <w:color w:val="000000"/>
          <w:sz w:val="32"/>
          <w:szCs w:val="32"/>
        </w:rPr>
        <w:t>各位代表，</w:t>
      </w:r>
      <w:r>
        <w:rPr>
          <w:rFonts w:hint="eastAsia" w:ascii="仿宋_GB2312" w:hAnsi="Calibri" w:eastAsia="仿宋_GB2312"/>
          <w:color w:val="000000"/>
          <w:sz w:val="32"/>
          <w:szCs w:val="32"/>
          <w:lang w:val="en-US" w:eastAsia="zh-CN"/>
        </w:rPr>
        <w:t>2019年我们的工作取得了一定的成绩</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检察事业有了新发展，但也</w:t>
      </w:r>
      <w:r>
        <w:rPr>
          <w:rFonts w:hint="eastAsia" w:ascii="仿宋_GB2312" w:hAnsi="Calibri" w:eastAsia="仿宋_GB2312"/>
          <w:color w:val="000000"/>
          <w:sz w:val="32"/>
          <w:szCs w:val="32"/>
        </w:rPr>
        <w:t>存在</w:t>
      </w:r>
      <w:r>
        <w:rPr>
          <w:rFonts w:hint="eastAsia" w:ascii="仿宋_GB2312" w:hAnsi="Calibri" w:eastAsia="仿宋_GB2312"/>
          <w:color w:val="000000"/>
          <w:sz w:val="32"/>
          <w:szCs w:val="32"/>
          <w:lang w:eastAsia="zh-CN"/>
        </w:rPr>
        <w:t>一些</w:t>
      </w:r>
      <w:r>
        <w:rPr>
          <w:rFonts w:hint="eastAsia" w:ascii="仿宋_GB2312" w:hAnsi="Calibri" w:eastAsia="仿宋_GB2312"/>
          <w:color w:val="000000"/>
          <w:sz w:val="32"/>
          <w:szCs w:val="32"/>
        </w:rPr>
        <w:t>的问题和不足</w:t>
      </w:r>
      <w:r>
        <w:rPr>
          <w:rFonts w:ascii="仿宋_GB2312" w:hAnsi="Calibri" w:eastAsia="仿宋_GB2312"/>
          <w:color w:val="000000"/>
          <w:sz w:val="32"/>
          <w:szCs w:val="32"/>
        </w:rPr>
        <w:t>，</w:t>
      </w:r>
      <w:r>
        <w:rPr>
          <w:rFonts w:hint="eastAsia" w:ascii="仿宋_GB2312" w:hAnsi="Calibri" w:eastAsia="仿宋_GB2312"/>
          <w:color w:val="000000"/>
          <w:sz w:val="32"/>
          <w:szCs w:val="32"/>
        </w:rPr>
        <w:t>如检察业务发展还不够平衡、不够充分、不够全面</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创新意识不足，工作亮点不多，特色较少；随着社会主要矛盾的变化，人民群众对社会公平正义提出更高的要求，我们干警的执法思维和理念需要进一步转变，能力素质也需要进一步提高。</w:t>
      </w:r>
      <w:r>
        <w:rPr>
          <w:rFonts w:hint="eastAsia" w:ascii="仿宋" w:hAnsi="仿宋" w:eastAsia="仿宋" w:cs="仿宋"/>
          <w:sz w:val="32"/>
          <w:szCs w:val="32"/>
          <w:lang w:val="en-US" w:eastAsia="zh-CN"/>
        </w:rPr>
        <w:t>对此，我们一定高度重视，切实加以解决！</w:t>
      </w:r>
    </w:p>
    <w:p w14:paraId="2107CC63">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rPr>
          <w:rFonts w:ascii="黑体" w:hAnsi="黑体" w:eastAsia="黑体"/>
          <w:color w:val="000000"/>
          <w:sz w:val="32"/>
          <w:szCs w:val="32"/>
        </w:rPr>
      </w:pPr>
    </w:p>
    <w:p w14:paraId="3DEFFFD1">
      <w:pPr>
        <w:keepNext w:val="0"/>
        <w:keepLines w:val="0"/>
        <w:pageBreakBefore w:val="0"/>
        <w:kinsoku/>
        <w:wordWrap/>
        <w:overflowPunct/>
        <w:topLinePunct w:val="0"/>
        <w:autoSpaceDE w:val="0"/>
        <w:autoSpaceDN w:val="0"/>
        <w:bidi w:val="0"/>
        <w:adjustRightInd w:val="0"/>
        <w:snapToGrid/>
        <w:spacing w:line="480" w:lineRule="exact"/>
        <w:ind w:left="0" w:leftChars="0" w:right="0" w:rightChars="0"/>
        <w:jc w:val="center"/>
        <w:textAlignment w:val="auto"/>
        <w:rPr>
          <w:rFonts w:ascii="黑体" w:hAnsi="黑体" w:eastAsia="黑体"/>
          <w:color w:val="000000"/>
          <w:sz w:val="32"/>
          <w:szCs w:val="32"/>
        </w:rPr>
      </w:pPr>
      <w:r>
        <w:rPr>
          <w:rFonts w:hint="eastAsia" w:ascii="黑体" w:hAnsi="黑体" w:eastAsia="黑体"/>
          <w:color w:val="000000"/>
          <w:sz w:val="32"/>
          <w:szCs w:val="32"/>
        </w:rPr>
        <w:t>20</w:t>
      </w:r>
      <w:r>
        <w:rPr>
          <w:rFonts w:hint="eastAsia" w:ascii="黑体" w:hAnsi="黑体" w:eastAsia="黑体"/>
          <w:color w:val="000000"/>
          <w:sz w:val="32"/>
          <w:szCs w:val="32"/>
          <w:lang w:val="en-US" w:eastAsia="zh-CN"/>
        </w:rPr>
        <w:t>20</w:t>
      </w:r>
      <w:r>
        <w:rPr>
          <w:rFonts w:hint="eastAsia" w:ascii="黑体" w:hAnsi="黑体" w:eastAsia="黑体"/>
          <w:color w:val="000000"/>
          <w:sz w:val="32"/>
          <w:szCs w:val="32"/>
        </w:rPr>
        <w:t>年工作安排</w:t>
      </w:r>
    </w:p>
    <w:p w14:paraId="62774173">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rPr>
          <w:rFonts w:ascii="仿宋_GB2312" w:hAnsi="Calibri" w:eastAsia="仿宋_GB2312"/>
          <w:color w:val="000000"/>
          <w:sz w:val="32"/>
          <w:szCs w:val="32"/>
        </w:rPr>
      </w:pPr>
      <w:r>
        <w:rPr>
          <w:rFonts w:hint="eastAsia" w:ascii="仿宋_GB2312" w:hAnsi="Calibri" w:eastAsia="仿宋_GB2312"/>
          <w:color w:val="000000"/>
          <w:sz w:val="32"/>
          <w:szCs w:val="32"/>
        </w:rPr>
        <w:t xml:space="preserve"> </w:t>
      </w:r>
    </w:p>
    <w:p w14:paraId="14145427">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textAlignment w:val="auto"/>
        <w:rPr>
          <w:rFonts w:hint="eastAsia" w:ascii="仿宋_GB2312" w:eastAsia="仿宋_GB2312"/>
          <w:b/>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年，我院</w:t>
      </w:r>
      <w:r>
        <w:rPr>
          <w:rFonts w:hint="eastAsia" w:ascii="仿宋_GB2312" w:eastAsia="仿宋_GB2312"/>
          <w:color w:val="000000"/>
          <w:sz w:val="32"/>
          <w:szCs w:val="32"/>
          <w:lang w:eastAsia="zh-CN"/>
        </w:rPr>
        <w:t>将</w:t>
      </w:r>
      <w:r>
        <w:rPr>
          <w:rFonts w:hint="eastAsia" w:ascii="黑体" w:hAnsi="黑体" w:eastAsia="黑体" w:cs="黑体"/>
          <w:b/>
          <w:color w:val="000000"/>
          <w:sz w:val="32"/>
          <w:szCs w:val="32"/>
          <w:lang w:eastAsia="zh-CN"/>
        </w:rPr>
        <w:t>坚持</w:t>
      </w:r>
      <w:r>
        <w:rPr>
          <w:rFonts w:hint="eastAsia" w:ascii="黑体" w:hAnsi="黑体" w:eastAsia="黑体" w:cs="黑体"/>
          <w:b/>
          <w:color w:val="000000"/>
          <w:sz w:val="32"/>
          <w:szCs w:val="32"/>
        </w:rPr>
        <w:t>以习近平新时代中国特色社会主义思想为指导，深入贯彻落实党的十九大、十九届二中、三中</w:t>
      </w:r>
      <w:r>
        <w:rPr>
          <w:rFonts w:hint="eastAsia" w:ascii="黑体" w:hAnsi="黑体" w:eastAsia="黑体" w:cs="黑体"/>
          <w:b/>
          <w:color w:val="000000"/>
          <w:sz w:val="32"/>
          <w:szCs w:val="32"/>
          <w:lang w:eastAsia="zh-CN"/>
        </w:rPr>
        <w:t>、四中</w:t>
      </w:r>
      <w:r>
        <w:rPr>
          <w:rFonts w:hint="eastAsia" w:ascii="黑体" w:hAnsi="黑体" w:eastAsia="黑体" w:cs="黑体"/>
          <w:b/>
          <w:color w:val="000000"/>
          <w:sz w:val="32"/>
          <w:szCs w:val="32"/>
        </w:rPr>
        <w:t>全会和中央、省、市、县政法工作会议以及全国、全省、全市检察长会议精神，</w:t>
      </w:r>
      <w:r>
        <w:rPr>
          <w:rFonts w:hint="eastAsia" w:ascii="黑体" w:hAnsi="黑体" w:eastAsia="黑体" w:cs="黑体"/>
          <w:b/>
          <w:color w:val="000000"/>
          <w:sz w:val="32"/>
          <w:szCs w:val="32"/>
          <w:lang w:eastAsia="zh-CN"/>
        </w:rPr>
        <w:t>全面贯彻习近平总书记视察江西时的重要讲话精神，</w:t>
      </w:r>
      <w:r>
        <w:rPr>
          <w:rFonts w:hint="eastAsia" w:ascii="黑体" w:hAnsi="黑体" w:eastAsia="黑体" w:cs="黑体"/>
          <w:b/>
          <w:color w:val="000000"/>
          <w:sz w:val="32"/>
          <w:szCs w:val="32"/>
        </w:rPr>
        <w:t>坚持</w:t>
      </w:r>
      <w:r>
        <w:rPr>
          <w:rFonts w:hint="eastAsia" w:ascii="黑体" w:hAnsi="黑体" w:eastAsia="黑体" w:cs="黑体"/>
          <w:b/>
          <w:color w:val="000000"/>
          <w:sz w:val="32"/>
          <w:szCs w:val="32"/>
          <w:lang w:eastAsia="zh-CN"/>
        </w:rPr>
        <w:t>党对检察工作的绝对领导</w:t>
      </w:r>
      <w:r>
        <w:rPr>
          <w:rFonts w:hint="eastAsia" w:ascii="黑体" w:hAnsi="黑体" w:eastAsia="黑体" w:cs="黑体"/>
          <w:b/>
          <w:color w:val="000000"/>
          <w:sz w:val="32"/>
          <w:szCs w:val="32"/>
        </w:rPr>
        <w:t>，</w:t>
      </w:r>
      <w:r>
        <w:rPr>
          <w:rFonts w:hint="eastAsia" w:ascii="黑体" w:hAnsi="黑体" w:eastAsia="黑体" w:cs="黑体"/>
          <w:b/>
          <w:color w:val="000000"/>
          <w:sz w:val="32"/>
          <w:szCs w:val="32"/>
          <w:lang w:eastAsia="zh-CN"/>
        </w:rPr>
        <w:t>牢牢把握新时代检察工作总体要求，紧盯“工作一流，队伍过硬”目标，全面履行检察职能，统筹抓好服务大局、深化改革、队伍建设等工作</w:t>
      </w:r>
      <w:r>
        <w:rPr>
          <w:rFonts w:hint="eastAsia" w:ascii="黑体" w:hAnsi="黑体" w:eastAsia="黑体" w:cs="黑体"/>
          <w:b/>
          <w:color w:val="000000"/>
          <w:sz w:val="32"/>
          <w:szCs w:val="32"/>
        </w:rPr>
        <w:t>，</w:t>
      </w:r>
      <w:r>
        <w:rPr>
          <w:rFonts w:hint="eastAsia" w:ascii="黑体" w:hAnsi="黑体" w:eastAsia="黑体" w:cs="黑体"/>
          <w:b/>
          <w:color w:val="000000"/>
          <w:sz w:val="32"/>
          <w:szCs w:val="32"/>
          <w:lang w:eastAsia="zh-CN"/>
        </w:rPr>
        <w:t>为决胜全面建成小康社会、推动新干高质量跨越式发展贡献检察力量</w:t>
      </w:r>
      <w:r>
        <w:rPr>
          <w:rFonts w:hint="eastAsia" w:ascii="黑体" w:hAnsi="黑体" w:eastAsia="黑体" w:cs="黑体"/>
          <w:b/>
          <w:color w:val="000000"/>
          <w:sz w:val="32"/>
          <w:szCs w:val="32"/>
        </w:rPr>
        <w:t>。</w:t>
      </w:r>
    </w:p>
    <w:p w14:paraId="3415A40E">
      <w:pPr>
        <w:keepNext w:val="0"/>
        <w:keepLines w:val="0"/>
        <w:pageBreakBefore w:val="0"/>
        <w:kinsoku/>
        <w:wordWrap/>
        <w:overflowPunct/>
        <w:topLinePunct w:val="0"/>
        <w:autoSpaceDE w:val="0"/>
        <w:autoSpaceDN w:val="0"/>
        <w:bidi w:val="0"/>
        <w:adjustRightInd w:val="0"/>
        <w:snapToGrid/>
        <w:spacing w:line="480" w:lineRule="exact"/>
        <w:ind w:right="0" w:rightChars="0" w:firstLine="643" w:firstLineChars="200"/>
        <w:textAlignment w:val="auto"/>
        <w:rPr>
          <w:rFonts w:hint="eastAsia" w:ascii="仿宋_GB2312" w:hAnsi="Calibri" w:eastAsia="仿宋_GB2312"/>
          <w:color w:val="000000"/>
          <w:sz w:val="32"/>
          <w:szCs w:val="32"/>
        </w:rPr>
      </w:pPr>
      <w:r>
        <w:rPr>
          <w:rFonts w:hint="eastAsia" w:ascii="楷体_GB2312" w:eastAsia="楷体_GB2312"/>
          <w:b/>
          <w:bCs/>
          <w:color w:val="000000"/>
          <w:sz w:val="32"/>
          <w:szCs w:val="32"/>
          <w:lang w:eastAsia="zh-CN"/>
        </w:rPr>
        <w:t>一是在政治建设上有新提升。</w:t>
      </w:r>
      <w:r>
        <w:rPr>
          <w:rFonts w:hint="eastAsia" w:ascii="仿宋_GB2312" w:hAnsi="Calibri" w:eastAsia="仿宋_GB2312"/>
          <w:color w:val="000000"/>
          <w:sz w:val="32"/>
          <w:szCs w:val="32"/>
          <w:lang w:eastAsia="zh-CN"/>
        </w:rPr>
        <w:t>强化思想理论武装</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把学习贯彻习近平新时代中国特色社会主义思想和新时代政法工作重要思想作为首要政治任务，</w:t>
      </w:r>
      <w:r>
        <w:rPr>
          <w:rFonts w:hint="eastAsia" w:ascii="仿宋_GB2312" w:hAnsi="Calibri" w:eastAsia="仿宋_GB2312"/>
          <w:color w:val="000000"/>
          <w:sz w:val="32"/>
          <w:szCs w:val="32"/>
        </w:rPr>
        <w:t>始终保持检察工作正确政治方向</w:t>
      </w:r>
      <w:r>
        <w:rPr>
          <w:rFonts w:hint="eastAsia" w:ascii="仿宋_GB2312" w:hAnsi="Calibri" w:eastAsia="仿宋_GB2312"/>
          <w:color w:val="000000"/>
          <w:sz w:val="32"/>
          <w:szCs w:val="32"/>
          <w:lang w:eastAsia="zh-CN"/>
        </w:rPr>
        <w:t>，不断巩固“不忘初心、牢记使命”主题教育成果，</w:t>
      </w:r>
      <w:r>
        <w:rPr>
          <w:rFonts w:hint="eastAsia" w:ascii="仿宋_GB2312" w:hAnsi="Calibri" w:eastAsia="仿宋_GB2312"/>
          <w:color w:val="000000"/>
          <w:sz w:val="32"/>
          <w:szCs w:val="32"/>
        </w:rPr>
        <w:t>教育引导干警</w:t>
      </w:r>
      <w:r>
        <w:rPr>
          <w:rFonts w:hint="eastAsia" w:ascii="仿宋_GB2312" w:hAnsi="Calibri" w:eastAsia="仿宋_GB2312"/>
          <w:color w:val="000000"/>
          <w:sz w:val="32"/>
          <w:szCs w:val="32"/>
          <w:lang w:eastAsia="zh-CN"/>
        </w:rPr>
        <w:t>增强“四个意识”、坚定“四个</w:t>
      </w:r>
      <w:bookmarkStart w:id="0" w:name="_GoBack"/>
      <w:bookmarkEnd w:id="0"/>
      <w:r>
        <w:rPr>
          <w:rFonts w:hint="eastAsia" w:ascii="仿宋_GB2312" w:hAnsi="Calibri" w:eastAsia="仿宋_GB2312"/>
          <w:color w:val="000000"/>
          <w:sz w:val="32"/>
          <w:szCs w:val="32"/>
          <w:lang w:eastAsia="zh-CN"/>
        </w:rPr>
        <w:t>自信”、做到“两个维护”。严守政治纪律和政治规矩，认真落实《中国共产党政法工作条例》《中国共产党重大事项请示报告条例》等党内法规，</w:t>
      </w:r>
      <w:r>
        <w:rPr>
          <w:rFonts w:hint="eastAsia" w:ascii="仿宋_GB2312" w:hAnsi="Calibri" w:eastAsia="仿宋_GB2312"/>
          <w:color w:val="000000"/>
          <w:sz w:val="32"/>
          <w:szCs w:val="32"/>
        </w:rPr>
        <w:t>确保党</w:t>
      </w:r>
      <w:r>
        <w:rPr>
          <w:rFonts w:hint="eastAsia" w:ascii="仿宋_GB2312" w:hAnsi="Calibri" w:eastAsia="仿宋_GB2312"/>
          <w:color w:val="000000"/>
          <w:sz w:val="32"/>
          <w:szCs w:val="32"/>
          <w:lang w:eastAsia="zh-CN"/>
        </w:rPr>
        <w:t>的决策部署在检察工作中不折不扣、全面贯彻落实</w:t>
      </w:r>
      <w:r>
        <w:rPr>
          <w:rFonts w:hint="eastAsia" w:ascii="仿宋_GB2312" w:hAnsi="Calibri" w:eastAsia="仿宋_GB2312"/>
          <w:color w:val="000000"/>
          <w:sz w:val="32"/>
          <w:szCs w:val="32"/>
        </w:rPr>
        <w:t>。</w:t>
      </w:r>
    </w:p>
    <w:p w14:paraId="6C3D60D8">
      <w:pPr>
        <w:keepNext w:val="0"/>
        <w:keepLines w:val="0"/>
        <w:pageBreakBefore w:val="0"/>
        <w:kinsoku/>
        <w:wordWrap/>
        <w:overflowPunct/>
        <w:topLinePunct w:val="0"/>
        <w:autoSpaceDE w:val="0"/>
        <w:autoSpaceDN w:val="0"/>
        <w:bidi w:val="0"/>
        <w:adjustRightInd w:val="0"/>
        <w:snapToGrid/>
        <w:spacing w:line="480" w:lineRule="exact"/>
        <w:ind w:right="0" w:rightChars="0" w:firstLine="643" w:firstLineChars="200"/>
        <w:textAlignment w:val="auto"/>
        <w:rPr>
          <w:rFonts w:hint="eastAsia" w:ascii="仿宋_GB2312" w:hAnsi="Calibri" w:eastAsia="仿宋_GB2312"/>
          <w:color w:val="000000"/>
          <w:sz w:val="32"/>
          <w:szCs w:val="32"/>
        </w:rPr>
      </w:pPr>
      <w:r>
        <w:rPr>
          <w:rFonts w:hint="eastAsia" w:ascii="楷体_GB2312" w:eastAsia="楷体_GB2312"/>
          <w:b/>
          <w:bCs/>
          <w:color w:val="000000"/>
          <w:sz w:val="32"/>
          <w:szCs w:val="32"/>
          <w:lang w:eastAsia="zh-CN"/>
        </w:rPr>
        <w:t>二是在服务大局中展新作为。</w:t>
      </w:r>
      <w:r>
        <w:rPr>
          <w:rFonts w:hint="eastAsia" w:ascii="仿宋_GB2312" w:hAnsi="Calibri" w:eastAsia="仿宋_GB2312"/>
          <w:color w:val="000000"/>
          <w:sz w:val="32"/>
          <w:szCs w:val="32"/>
          <w:lang w:eastAsia="zh-CN"/>
        </w:rPr>
        <w:t>紧紧</w:t>
      </w:r>
      <w:r>
        <w:rPr>
          <w:rFonts w:hint="eastAsia" w:ascii="仿宋_GB2312" w:hAnsi="Calibri" w:eastAsia="仿宋_GB2312"/>
          <w:color w:val="000000"/>
          <w:sz w:val="32"/>
          <w:szCs w:val="32"/>
        </w:rPr>
        <w:t>围绕县委</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县政府推动经济</w:t>
      </w:r>
      <w:r>
        <w:rPr>
          <w:rFonts w:hint="eastAsia" w:ascii="仿宋_GB2312" w:hAnsi="Calibri" w:eastAsia="仿宋_GB2312"/>
          <w:color w:val="000000"/>
          <w:sz w:val="32"/>
          <w:szCs w:val="32"/>
          <w:lang w:eastAsia="zh-CN"/>
        </w:rPr>
        <w:t>社会</w:t>
      </w:r>
      <w:r>
        <w:rPr>
          <w:rFonts w:hint="eastAsia" w:ascii="仿宋_GB2312" w:hAnsi="Calibri" w:eastAsia="仿宋_GB2312"/>
          <w:color w:val="000000"/>
          <w:sz w:val="32"/>
          <w:szCs w:val="32"/>
        </w:rPr>
        <w:t>高质量发展目标，进一步找准检察工作服务中心的切入点和着力点</w:t>
      </w:r>
      <w:r>
        <w:rPr>
          <w:rFonts w:hint="eastAsia" w:ascii="仿宋_GB2312" w:hAnsi="Calibri" w:eastAsia="仿宋_GB2312"/>
          <w:color w:val="000000"/>
          <w:sz w:val="32"/>
          <w:szCs w:val="32"/>
          <w:lang w:eastAsia="zh-CN"/>
        </w:rPr>
        <w:t>。自觉服从服务疫情防控和经济社会发展，严厉打击妨害疫情防控和医疗、市场、生产生活秩序的犯罪行为，帮助企业复产复工、群众就业</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为统筹推进疫情防控和经济社会发展作出积极贡献。持续推进重点行业领域扫黑除恶专项治理，始终保持专项斗争高压态势。继续</w:t>
      </w:r>
      <w:r>
        <w:rPr>
          <w:rFonts w:hint="eastAsia" w:ascii="仿宋" w:hAnsi="仿宋" w:eastAsia="仿宋" w:cs="仿宋"/>
          <w:bCs/>
          <w:color w:val="auto"/>
          <w:sz w:val="32"/>
          <w:szCs w:val="32"/>
          <w:lang w:val="en-US" w:eastAsia="zh-CN"/>
        </w:rPr>
        <w:t>完善与纪委监委反腐败工作衔接机制，不断加大</w:t>
      </w:r>
      <w:r>
        <w:rPr>
          <w:rFonts w:hint="eastAsia" w:ascii="仿宋_GB2312" w:hAnsi="Calibri" w:eastAsia="仿宋_GB2312"/>
          <w:color w:val="000000"/>
          <w:sz w:val="32"/>
          <w:szCs w:val="32"/>
          <w:lang w:eastAsia="zh-CN"/>
        </w:rPr>
        <w:t>反腐败力度。依法打击各类刑事犯罪，持续推进平安新干建设，</w:t>
      </w:r>
      <w:r>
        <w:rPr>
          <w:rFonts w:hint="eastAsia" w:ascii="仿宋_GB2312" w:hAnsi="Calibri" w:eastAsia="仿宋_GB2312"/>
          <w:color w:val="000000"/>
          <w:sz w:val="32"/>
          <w:szCs w:val="32"/>
        </w:rPr>
        <w:t>全力服务新干县域</w:t>
      </w:r>
      <w:r>
        <w:rPr>
          <w:rFonts w:hint="eastAsia" w:ascii="仿宋_GB2312" w:hAnsi="Calibri" w:eastAsia="仿宋_GB2312"/>
          <w:color w:val="000000"/>
          <w:sz w:val="32"/>
          <w:szCs w:val="32"/>
          <w:lang w:eastAsia="zh-CN"/>
        </w:rPr>
        <w:t>经济社会</w:t>
      </w:r>
      <w:r>
        <w:rPr>
          <w:rFonts w:hint="eastAsia" w:ascii="仿宋_GB2312" w:hAnsi="Calibri" w:eastAsia="仿宋_GB2312"/>
          <w:color w:val="000000"/>
          <w:sz w:val="32"/>
          <w:szCs w:val="32"/>
        </w:rPr>
        <w:t>发展。</w:t>
      </w:r>
    </w:p>
    <w:p w14:paraId="2622D336">
      <w:pPr>
        <w:keepNext w:val="0"/>
        <w:keepLines w:val="0"/>
        <w:pageBreakBefore w:val="0"/>
        <w:kinsoku/>
        <w:wordWrap/>
        <w:overflowPunct/>
        <w:topLinePunct w:val="0"/>
        <w:autoSpaceDE w:val="0"/>
        <w:autoSpaceDN w:val="0"/>
        <w:bidi w:val="0"/>
        <w:adjustRightInd w:val="0"/>
        <w:snapToGrid/>
        <w:spacing w:line="480" w:lineRule="exact"/>
        <w:ind w:right="0" w:rightChars="0" w:firstLine="643" w:firstLineChars="200"/>
        <w:textAlignment w:val="auto"/>
        <w:rPr>
          <w:rFonts w:hint="eastAsia" w:ascii="仿宋_GB2312" w:hAnsi="Calibri" w:eastAsia="仿宋_GB2312"/>
          <w:color w:val="000000"/>
          <w:sz w:val="32"/>
          <w:szCs w:val="32"/>
          <w:lang w:eastAsia="zh-CN"/>
        </w:rPr>
      </w:pPr>
      <w:r>
        <w:rPr>
          <w:rFonts w:hint="eastAsia" w:ascii="楷体_GB2312" w:eastAsia="楷体_GB2312"/>
          <w:b/>
          <w:bCs/>
          <w:color w:val="000000"/>
          <w:sz w:val="32"/>
          <w:szCs w:val="32"/>
          <w:lang w:eastAsia="zh-CN"/>
        </w:rPr>
        <w:t>三是保障民生中出新举措。</w:t>
      </w:r>
      <w:r>
        <w:rPr>
          <w:rFonts w:hint="eastAsia" w:ascii="仿宋_GB2312" w:hAnsi="Calibri" w:eastAsia="仿宋_GB2312"/>
          <w:color w:val="000000"/>
          <w:sz w:val="32"/>
          <w:szCs w:val="32"/>
          <w:lang w:eastAsia="zh-CN"/>
        </w:rPr>
        <w:t>坚持以人民为中心，及时回应人民群众多元司法需求。综合运用检察职能，坚持“捕、诉、监、防、教”一体化履职，用心用情做好未成年人检察工作。深化生态环境领域公益诉讼，持续推进“五河一湖一江”水环境及饮用水源保护。严格执行</w:t>
      </w:r>
      <w:r>
        <w:rPr>
          <w:rFonts w:hint="eastAsia" w:ascii="仿宋_GB2312" w:hAnsi="Calibri" w:eastAsia="仿宋_GB2312"/>
          <w:color w:val="000000"/>
          <w:sz w:val="32"/>
          <w:szCs w:val="32"/>
        </w:rPr>
        <w:t>食品药品安全</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四个最严</w:t>
      </w:r>
      <w:r>
        <w:rPr>
          <w:rFonts w:hint="eastAsia" w:ascii="仿宋_GB2312" w:hAnsi="Calibri" w:eastAsia="仿宋_GB2312"/>
          <w:color w:val="000000"/>
          <w:sz w:val="32"/>
          <w:szCs w:val="32"/>
          <w:lang w:eastAsia="zh-CN"/>
        </w:rPr>
        <w:t>”要求，保护人民群众舌尖上的安全。全面落实新时代“枫桥经验”，下大力气解决老百姓的烦心事揪心事，加强释法说理，努力做到案结事了。</w:t>
      </w:r>
    </w:p>
    <w:p w14:paraId="262FCD1B">
      <w:pPr>
        <w:keepNext w:val="0"/>
        <w:keepLines w:val="0"/>
        <w:pageBreakBefore w:val="0"/>
        <w:kinsoku/>
        <w:wordWrap/>
        <w:overflowPunct/>
        <w:topLinePunct w:val="0"/>
        <w:autoSpaceDE w:val="0"/>
        <w:autoSpaceDN w:val="0"/>
        <w:bidi w:val="0"/>
        <w:adjustRightInd w:val="0"/>
        <w:snapToGrid/>
        <w:spacing w:line="480" w:lineRule="exact"/>
        <w:ind w:right="0" w:rightChars="0" w:firstLine="643" w:firstLineChars="200"/>
        <w:textAlignment w:val="auto"/>
        <w:rPr>
          <w:rFonts w:hint="eastAsia" w:ascii="仿宋_GB2312" w:hAnsi="Calibri" w:eastAsia="仿宋_GB2312"/>
          <w:color w:val="000000"/>
          <w:sz w:val="32"/>
          <w:szCs w:val="32"/>
        </w:rPr>
      </w:pPr>
      <w:r>
        <w:rPr>
          <w:rFonts w:hint="eastAsia" w:ascii="楷体_GB2312" w:eastAsia="楷体_GB2312"/>
          <w:b/>
          <w:bCs/>
          <w:color w:val="000000"/>
          <w:sz w:val="32"/>
          <w:szCs w:val="32"/>
          <w:lang w:eastAsia="zh-CN"/>
        </w:rPr>
        <w:t>四是在法律监督中谋新思路。</w:t>
      </w:r>
      <w:r>
        <w:rPr>
          <w:rFonts w:hint="eastAsia" w:ascii="仿宋_GB2312" w:hAnsi="Calibri" w:eastAsia="仿宋_GB2312"/>
          <w:color w:val="000000"/>
          <w:sz w:val="32"/>
          <w:szCs w:val="32"/>
        </w:rPr>
        <w:t>坚持业务立检</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监督强检。秉持客观公正立场，</w:t>
      </w:r>
      <w:r>
        <w:rPr>
          <w:rFonts w:hint="eastAsia" w:ascii="仿宋_GB2312" w:hAnsi="Calibri" w:eastAsia="仿宋_GB2312"/>
          <w:color w:val="000000"/>
          <w:sz w:val="32"/>
          <w:szCs w:val="32"/>
          <w:lang w:eastAsia="zh-CN"/>
        </w:rPr>
        <w:t>切实发挥在刑事诉讼中的主导责任，坚持打击犯罪与保护人权并举，</w:t>
      </w:r>
      <w:r>
        <w:rPr>
          <w:rFonts w:hint="eastAsia" w:ascii="仿宋_GB2312" w:hAnsi="Calibri" w:eastAsia="仿宋_GB2312"/>
          <w:color w:val="000000"/>
          <w:sz w:val="32"/>
          <w:szCs w:val="32"/>
        </w:rPr>
        <w:t>做到不枉不纵</w:t>
      </w:r>
      <w:r>
        <w:rPr>
          <w:rFonts w:hint="eastAsia" w:ascii="仿宋_GB2312" w:hAnsi="Calibri" w:eastAsia="仿宋_GB2312"/>
          <w:color w:val="000000"/>
          <w:sz w:val="32"/>
          <w:szCs w:val="32"/>
          <w:lang w:eastAsia="zh-CN"/>
        </w:rPr>
        <w:t>、</w:t>
      </w:r>
      <w:r>
        <w:rPr>
          <w:rFonts w:hint="eastAsia" w:ascii="仿宋_GB2312" w:hAnsi="Calibri" w:eastAsia="仿宋_GB2312"/>
          <w:color w:val="000000"/>
          <w:sz w:val="32"/>
          <w:szCs w:val="32"/>
        </w:rPr>
        <w:t>宽严有度。</w:t>
      </w:r>
      <w:r>
        <w:rPr>
          <w:rFonts w:hint="eastAsia" w:ascii="仿宋_GB2312" w:hAnsi="Calibri" w:eastAsia="仿宋_GB2312"/>
          <w:color w:val="000000"/>
          <w:sz w:val="32"/>
          <w:szCs w:val="32"/>
          <w:lang w:eastAsia="zh-CN"/>
        </w:rPr>
        <w:t>补齐民事行政检察短板，注重监督数量和监督效果的统一。</w:t>
      </w:r>
      <w:r>
        <w:rPr>
          <w:rFonts w:hint="eastAsia" w:ascii="仿宋_GB2312" w:hAnsi="Calibri" w:eastAsia="仿宋_GB2312"/>
          <w:color w:val="000000"/>
          <w:sz w:val="32"/>
          <w:szCs w:val="32"/>
        </w:rPr>
        <w:t>加强检察建议工作，切实提升监督水平和监督质效，把检察建议做成刚性，实现双赢多赢共赢。坚持法律监督机关的宪法定位,在办案中监督，在监督中办案，实现“四大检察”</w:t>
      </w:r>
      <w:r>
        <w:rPr>
          <w:rFonts w:hint="default" w:ascii="Calibri" w:hAnsi="Calibri" w:eastAsia="仿宋_GB2312" w:cs="Calibri"/>
          <w:sz w:val="32"/>
          <w:szCs w:val="32"/>
          <w:vertAlign w:val="superscript"/>
        </w:rPr>
        <w:t>⑥</w:t>
      </w:r>
      <w:r>
        <w:rPr>
          <w:rFonts w:hint="eastAsia" w:ascii="仿宋_GB2312" w:hAnsi="Calibri" w:eastAsia="仿宋_GB2312"/>
          <w:color w:val="000000"/>
          <w:sz w:val="32"/>
          <w:szCs w:val="32"/>
        </w:rPr>
        <w:t>全面平衡充分发展。</w:t>
      </w:r>
    </w:p>
    <w:p w14:paraId="797DD0AC">
      <w:pPr>
        <w:keepNext w:val="0"/>
        <w:keepLines w:val="0"/>
        <w:pageBreakBefore w:val="0"/>
        <w:kinsoku/>
        <w:wordWrap/>
        <w:overflowPunct/>
        <w:topLinePunct w:val="0"/>
        <w:autoSpaceDE w:val="0"/>
        <w:autoSpaceDN w:val="0"/>
        <w:bidi w:val="0"/>
        <w:adjustRightInd w:val="0"/>
        <w:snapToGrid/>
        <w:spacing w:line="480" w:lineRule="exact"/>
        <w:ind w:right="0" w:rightChars="0" w:firstLine="643" w:firstLineChars="200"/>
        <w:textAlignment w:val="auto"/>
        <w:rPr>
          <w:rFonts w:hint="eastAsia" w:ascii="仿宋_GB2312" w:hAnsi="Calibri" w:eastAsia="仿宋_GB2312"/>
          <w:color w:val="000000"/>
          <w:sz w:val="32"/>
          <w:szCs w:val="32"/>
        </w:rPr>
      </w:pPr>
      <w:r>
        <w:rPr>
          <w:rFonts w:hint="eastAsia" w:ascii="楷体_GB2312" w:eastAsia="楷体_GB2312"/>
          <w:b/>
          <w:bCs/>
          <w:color w:val="000000"/>
          <w:sz w:val="32"/>
          <w:szCs w:val="32"/>
          <w:lang w:eastAsia="zh-CN"/>
        </w:rPr>
        <w:t>五是在队伍建设中树新形象。</w:t>
      </w:r>
      <w:r>
        <w:rPr>
          <w:rFonts w:hint="eastAsia" w:ascii="仿宋_GB2312" w:hAnsi="Calibri" w:eastAsia="仿宋_GB2312"/>
          <w:color w:val="000000"/>
          <w:sz w:val="32"/>
          <w:szCs w:val="32"/>
        </w:rPr>
        <w:t>始终把政治建设作为队伍建设的首要任务</w:t>
      </w:r>
      <w:r>
        <w:rPr>
          <w:rFonts w:hint="eastAsia" w:ascii="仿宋_GB2312" w:hAnsi="Calibri" w:eastAsia="仿宋_GB2312"/>
          <w:color w:val="000000"/>
          <w:sz w:val="32"/>
          <w:szCs w:val="32"/>
          <w:lang w:eastAsia="zh-CN"/>
        </w:rPr>
        <w:t>，坚持党对检察工作的绝对领导。</w:t>
      </w:r>
      <w:r>
        <w:rPr>
          <w:rFonts w:hint="eastAsia" w:ascii="仿宋_GB2312" w:hAnsi="Calibri" w:eastAsia="仿宋_GB2312"/>
          <w:color w:val="000000"/>
          <w:sz w:val="32"/>
          <w:szCs w:val="32"/>
        </w:rPr>
        <w:t>不断完善岗位素能培训，</w:t>
      </w:r>
      <w:r>
        <w:rPr>
          <w:rFonts w:hint="eastAsia" w:ascii="仿宋_GB2312" w:hAnsi="Calibri" w:eastAsia="仿宋_GB2312"/>
          <w:color w:val="000000"/>
          <w:sz w:val="32"/>
          <w:szCs w:val="32"/>
          <w:lang w:eastAsia="zh-CN"/>
        </w:rPr>
        <w:t>强化业务培训和岗位练兵，着力</w:t>
      </w:r>
      <w:r>
        <w:rPr>
          <w:rFonts w:hint="eastAsia" w:ascii="仿宋_GB2312" w:hAnsi="Calibri" w:eastAsia="仿宋_GB2312"/>
          <w:color w:val="000000"/>
          <w:sz w:val="32"/>
          <w:szCs w:val="32"/>
        </w:rPr>
        <w:t>提升检察队伍专业素质</w:t>
      </w:r>
      <w:r>
        <w:rPr>
          <w:rFonts w:hint="eastAsia" w:ascii="仿宋_GB2312" w:hAnsi="Calibri" w:eastAsia="仿宋_GB2312"/>
          <w:color w:val="000000"/>
          <w:sz w:val="32"/>
          <w:szCs w:val="32"/>
          <w:lang w:eastAsia="zh-CN"/>
        </w:rPr>
        <w:t>。扎实开展检察队伍教育整顿，</w:t>
      </w:r>
      <w:r>
        <w:rPr>
          <w:rFonts w:hint="eastAsia" w:ascii="仿宋_GB2312" w:hAnsi="Calibri" w:eastAsia="仿宋_GB2312"/>
          <w:color w:val="000000"/>
          <w:sz w:val="32"/>
          <w:szCs w:val="32"/>
        </w:rPr>
        <w:t>强化职业道德建设，严明纪律作风，坚持全面从严治检，</w:t>
      </w:r>
      <w:r>
        <w:rPr>
          <w:rFonts w:hint="eastAsia" w:ascii="仿宋_GB2312" w:hAnsi="Calibri" w:eastAsia="仿宋_GB2312"/>
          <w:color w:val="000000"/>
          <w:sz w:val="32"/>
          <w:szCs w:val="32"/>
          <w:lang w:eastAsia="zh-CN"/>
        </w:rPr>
        <w:t>提升检察队伍纯洁性、执法公信力和人民群众满意度</w:t>
      </w:r>
      <w:r>
        <w:rPr>
          <w:rFonts w:hint="eastAsia" w:ascii="仿宋_GB2312" w:hAnsi="Calibri" w:eastAsia="仿宋_GB2312"/>
          <w:color w:val="000000"/>
          <w:sz w:val="32"/>
          <w:szCs w:val="32"/>
        </w:rPr>
        <w:t>。</w:t>
      </w:r>
    </w:p>
    <w:p w14:paraId="78F051C3">
      <w:pPr>
        <w:keepNext w:val="0"/>
        <w:keepLines w:val="0"/>
        <w:pageBreakBefore w:val="0"/>
        <w:kinsoku/>
        <w:wordWrap/>
        <w:overflowPunct/>
        <w:topLinePunct w:val="0"/>
        <w:autoSpaceDE w:val="0"/>
        <w:autoSpaceDN w:val="0"/>
        <w:bidi w:val="0"/>
        <w:adjustRightInd w:val="0"/>
        <w:snapToGrid/>
        <w:spacing w:line="480" w:lineRule="exact"/>
        <w:ind w:right="0" w:rightChars="0" w:firstLine="640" w:firstLineChars="200"/>
        <w:textAlignment w:val="auto"/>
        <w:rPr>
          <w:rFonts w:hint="eastAsia" w:ascii="仿宋_GB2312" w:hAnsi="Calibri" w:eastAsia="仿宋_GB2312"/>
          <w:color w:val="000000"/>
          <w:sz w:val="32"/>
          <w:szCs w:val="32"/>
          <w:lang w:eastAsia="zh-CN"/>
        </w:rPr>
      </w:pPr>
      <w:r>
        <w:rPr>
          <w:rFonts w:hint="eastAsia" w:ascii="仿宋_GB2312" w:hAnsi="Calibri" w:eastAsia="仿宋_GB2312"/>
          <w:color w:val="000000"/>
          <w:sz w:val="32"/>
          <w:szCs w:val="32"/>
          <w:lang w:eastAsia="zh-CN"/>
        </w:rPr>
        <w:t>各位代表，新时代赋予新使命，新征程呼唤新作为。我院将认真贯彻本次会议精神，一如既往聚焦全县中心工作，充分发挥检察职能，以饱满的热情、务实的作风、扎实的举措，为高质量推进新干经济社会发展、实现“三先”目标、谱写新时代新干改革发展新篇章贡献检察力量！</w:t>
      </w:r>
    </w:p>
    <w:p w14:paraId="0429FA88">
      <w:pPr>
        <w:pStyle w:val="2"/>
        <w:rPr>
          <w:rFonts w:hint="eastAsia" w:ascii="仿宋_GB2312" w:hAnsi="Calibri" w:eastAsia="仿宋_GB2312"/>
          <w:color w:val="000000"/>
          <w:sz w:val="32"/>
          <w:szCs w:val="32"/>
          <w:lang w:eastAsia="zh-CN"/>
        </w:rPr>
      </w:pPr>
    </w:p>
    <w:p w14:paraId="0635EDA7">
      <w:pPr>
        <w:pStyle w:val="2"/>
        <w:rPr>
          <w:rFonts w:hint="eastAsia" w:ascii="仿宋_GB2312" w:hAnsi="Calibri" w:eastAsia="仿宋_GB2312"/>
          <w:color w:val="000000"/>
          <w:sz w:val="32"/>
          <w:szCs w:val="32"/>
          <w:lang w:eastAsia="zh-CN"/>
        </w:rPr>
      </w:pPr>
    </w:p>
    <w:p w14:paraId="1408FCAE">
      <w:pPr>
        <w:pStyle w:val="2"/>
        <w:rPr>
          <w:rFonts w:hint="eastAsia" w:ascii="仿宋_GB2312" w:hAnsi="Calibri" w:eastAsia="仿宋_GB2312"/>
          <w:color w:val="000000"/>
          <w:sz w:val="32"/>
          <w:szCs w:val="32"/>
          <w:lang w:eastAsia="zh-CN"/>
        </w:rPr>
      </w:pPr>
    </w:p>
    <w:p w14:paraId="1247B103">
      <w:pPr>
        <w:pStyle w:val="2"/>
        <w:rPr>
          <w:rFonts w:hint="eastAsia" w:ascii="仿宋_GB2312" w:hAnsi="Calibri" w:eastAsia="仿宋_GB2312"/>
          <w:color w:val="000000"/>
          <w:sz w:val="32"/>
          <w:szCs w:val="32"/>
          <w:lang w:eastAsia="zh-CN"/>
        </w:rPr>
      </w:pPr>
    </w:p>
    <w:p w14:paraId="5F06F826">
      <w:pPr>
        <w:pStyle w:val="2"/>
        <w:rPr>
          <w:rFonts w:hint="eastAsia" w:ascii="仿宋_GB2312" w:hAnsi="Calibri" w:eastAsia="仿宋_GB2312"/>
          <w:color w:val="000000"/>
          <w:sz w:val="32"/>
          <w:szCs w:val="32"/>
          <w:lang w:eastAsia="zh-CN"/>
        </w:rPr>
      </w:pPr>
    </w:p>
    <w:p w14:paraId="2856CD9E">
      <w:pPr>
        <w:pStyle w:val="2"/>
        <w:rPr>
          <w:rFonts w:hint="eastAsia" w:ascii="仿宋_GB2312" w:hAnsi="Calibri" w:eastAsia="仿宋_GB2312"/>
          <w:color w:val="000000"/>
          <w:sz w:val="32"/>
          <w:szCs w:val="32"/>
          <w:lang w:eastAsia="zh-CN"/>
        </w:rPr>
      </w:pPr>
    </w:p>
    <w:p w14:paraId="7DBB88B6">
      <w:pPr>
        <w:pStyle w:val="2"/>
        <w:rPr>
          <w:rFonts w:hint="eastAsia" w:ascii="仿宋_GB2312" w:hAnsi="Calibri" w:eastAsia="仿宋_GB2312"/>
          <w:color w:val="000000"/>
          <w:sz w:val="32"/>
          <w:szCs w:val="32"/>
          <w:lang w:eastAsia="zh-CN"/>
        </w:rPr>
      </w:pPr>
      <w:r>
        <w:rPr>
          <w:rFonts w:hint="eastAsia" w:ascii="仿宋_GB2312" w:eastAsia="仿宋_GB2312"/>
          <w:sz w:val="28"/>
          <w:szCs w:val="28"/>
          <w:lang w:eastAsia="zh-CN"/>
        </w:rPr>
        <w:drawing>
          <wp:anchor distT="0" distB="0" distL="114300" distR="114300" simplePos="0" relativeHeight="251661312" behindDoc="0" locked="0" layoutInCell="1" allowOverlap="1">
            <wp:simplePos x="0" y="0"/>
            <wp:positionH relativeFrom="column">
              <wp:posOffset>2091690</wp:posOffset>
            </wp:positionH>
            <wp:positionV relativeFrom="paragraph">
              <wp:posOffset>406400</wp:posOffset>
            </wp:positionV>
            <wp:extent cx="1514475" cy="1514475"/>
            <wp:effectExtent l="0" t="0" r="9525" b="9525"/>
            <wp:wrapNone/>
            <wp:docPr id="2" name="图片 2" descr="微信图片_2020050818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508182544"/>
                    <pic:cNvPicPr>
                      <a:picLocks noChangeAspect="1"/>
                    </pic:cNvPicPr>
                  </pic:nvPicPr>
                  <pic:blipFill>
                    <a:blip r:embed="rId9"/>
                    <a:stretch>
                      <a:fillRect/>
                    </a:stretch>
                  </pic:blipFill>
                  <pic:spPr>
                    <a:xfrm>
                      <a:off x="0" y="0"/>
                      <a:ext cx="1514475" cy="1514475"/>
                    </a:xfrm>
                    <a:prstGeom prst="rect">
                      <a:avLst/>
                    </a:prstGeom>
                  </pic:spPr>
                </pic:pic>
              </a:graphicData>
            </a:graphic>
          </wp:anchor>
        </w:drawing>
      </w:r>
    </w:p>
    <w:p w14:paraId="15D0EDB4">
      <w:pPr>
        <w:keepNext w:val="0"/>
        <w:keepLines w:val="0"/>
        <w:pageBreakBefore w:val="0"/>
        <w:kinsoku/>
        <w:wordWrap/>
        <w:overflowPunct/>
        <w:topLinePunct w:val="0"/>
        <w:bidi w:val="0"/>
        <w:snapToGrid/>
        <w:spacing w:line="480" w:lineRule="exact"/>
        <w:ind w:left="0" w:leftChars="0" w:right="0" w:rightChars="0"/>
        <w:jc w:val="center"/>
        <w:textAlignment w:val="auto"/>
        <w:rPr>
          <w:rFonts w:hint="eastAsia" w:ascii="方正小标宋简体" w:hAnsi="宋体" w:eastAsia="方正小标宋简体" w:cs="宋体"/>
          <w:bCs/>
          <w:kern w:val="0"/>
          <w:sz w:val="44"/>
          <w:szCs w:val="44"/>
        </w:rPr>
      </w:pPr>
    </w:p>
    <w:p w14:paraId="23181D17">
      <w:pPr>
        <w:pStyle w:val="2"/>
        <w:keepNext w:val="0"/>
        <w:keepLines w:val="0"/>
        <w:pageBreakBefore w:val="0"/>
        <w:kinsoku/>
        <w:wordWrap/>
        <w:overflowPunct/>
        <w:topLinePunct w:val="0"/>
        <w:bidi w:val="0"/>
        <w:snapToGrid/>
        <w:spacing w:line="480" w:lineRule="exact"/>
        <w:ind w:right="0" w:rightChars="0"/>
        <w:textAlignment w:val="auto"/>
        <w:rPr>
          <w:rFonts w:hint="eastAsia"/>
        </w:rPr>
      </w:pPr>
    </w:p>
    <w:p w14:paraId="4A547D4F">
      <w:pPr>
        <w:pStyle w:val="2"/>
        <w:keepNext w:val="0"/>
        <w:keepLines w:val="0"/>
        <w:pageBreakBefore w:val="0"/>
        <w:kinsoku/>
        <w:wordWrap/>
        <w:overflowPunct/>
        <w:topLinePunct w:val="0"/>
        <w:bidi w:val="0"/>
        <w:snapToGrid/>
        <w:spacing w:line="480" w:lineRule="exact"/>
        <w:ind w:right="0" w:rightChars="0"/>
        <w:textAlignment w:val="auto"/>
        <w:rPr>
          <w:rFonts w:hint="eastAsia"/>
        </w:rPr>
      </w:pPr>
    </w:p>
    <w:p w14:paraId="765527E4">
      <w:pPr>
        <w:pStyle w:val="2"/>
        <w:keepNext w:val="0"/>
        <w:keepLines w:val="0"/>
        <w:pageBreakBefore w:val="0"/>
        <w:kinsoku/>
        <w:wordWrap/>
        <w:overflowPunct/>
        <w:topLinePunct w:val="0"/>
        <w:bidi w:val="0"/>
        <w:snapToGrid/>
        <w:spacing w:line="480" w:lineRule="exact"/>
        <w:ind w:right="0" w:rightChars="0"/>
        <w:textAlignment w:val="auto"/>
        <w:rPr>
          <w:rFonts w:hint="eastAsia"/>
        </w:rPr>
      </w:pPr>
    </w:p>
    <w:p w14:paraId="42FA03BC">
      <w:pPr>
        <w:pStyle w:val="2"/>
        <w:keepNext w:val="0"/>
        <w:keepLines w:val="0"/>
        <w:pageBreakBefore w:val="0"/>
        <w:kinsoku/>
        <w:wordWrap/>
        <w:overflowPunct/>
        <w:topLinePunct w:val="0"/>
        <w:bidi w:val="0"/>
        <w:snapToGrid/>
        <w:spacing w:line="480" w:lineRule="exact"/>
        <w:ind w:left="0" w:leftChars="0" w:right="0" w:rightChars="0" w:firstLine="0" w:firstLineChars="0"/>
        <w:jc w:val="center"/>
        <w:textAlignment w:val="auto"/>
        <w:rPr>
          <w:rFonts w:hint="eastAsia" w:ascii="仿宋_GB2312"/>
          <w:sz w:val="28"/>
          <w:szCs w:val="28"/>
          <w:lang w:eastAsia="zh-CN"/>
        </w:rPr>
      </w:pPr>
      <w:r>
        <w:rPr>
          <w:rFonts w:hint="eastAsia" w:ascii="仿宋_GB2312"/>
          <w:sz w:val="28"/>
          <w:szCs w:val="28"/>
          <w:lang w:eastAsia="zh-CN"/>
        </w:rPr>
        <w:t>新干县人民检察院微信公众号</w:t>
      </w:r>
    </w:p>
    <w:p w14:paraId="0732D901">
      <w:pPr>
        <w:pStyle w:val="2"/>
        <w:keepNext w:val="0"/>
        <w:keepLines w:val="0"/>
        <w:pageBreakBefore w:val="0"/>
        <w:kinsoku/>
        <w:wordWrap/>
        <w:overflowPunct/>
        <w:topLinePunct w:val="0"/>
        <w:bidi w:val="0"/>
        <w:snapToGrid/>
        <w:spacing w:line="480" w:lineRule="exact"/>
        <w:ind w:left="0" w:leftChars="0" w:right="0" w:rightChars="0" w:firstLine="0" w:firstLineChars="0"/>
        <w:jc w:val="center"/>
        <w:textAlignment w:val="auto"/>
        <w:rPr>
          <w:rFonts w:hint="eastAsia" w:ascii="仿宋_GB2312"/>
          <w:sz w:val="28"/>
          <w:szCs w:val="28"/>
          <w:lang w:val="en-US" w:eastAsia="zh-CN"/>
        </w:rPr>
      </w:pPr>
      <w:r>
        <w:rPr>
          <w:rFonts w:hint="eastAsia" w:ascii="仿宋_GB2312"/>
          <w:sz w:val="28"/>
          <w:szCs w:val="28"/>
          <w:lang w:val="en-US" w:eastAsia="zh-CN"/>
        </w:rPr>
        <w:t>jaxgjcy</w:t>
      </w:r>
    </w:p>
    <w:p w14:paraId="5A31FDE5">
      <w:pPr>
        <w:pStyle w:val="2"/>
        <w:keepNext w:val="0"/>
        <w:keepLines w:val="0"/>
        <w:pageBreakBefore w:val="0"/>
        <w:kinsoku/>
        <w:wordWrap/>
        <w:overflowPunct/>
        <w:topLinePunct w:val="0"/>
        <w:bidi w:val="0"/>
        <w:snapToGrid/>
        <w:spacing w:line="480" w:lineRule="exact"/>
        <w:ind w:left="0" w:leftChars="0" w:right="0" w:rightChars="0" w:firstLine="0" w:firstLineChars="0"/>
        <w:jc w:val="center"/>
        <w:textAlignment w:val="auto"/>
        <w:rPr>
          <w:rFonts w:hint="eastAsia" w:ascii="仿宋_GB2312"/>
          <w:sz w:val="28"/>
          <w:szCs w:val="28"/>
          <w:lang w:eastAsia="zh-CN"/>
        </w:rPr>
      </w:pPr>
    </w:p>
    <w:p w14:paraId="0F780EC2">
      <w:pPr>
        <w:pStyle w:val="2"/>
        <w:keepNext w:val="0"/>
        <w:keepLines w:val="0"/>
        <w:pageBreakBefore w:val="0"/>
        <w:kinsoku/>
        <w:wordWrap/>
        <w:overflowPunct/>
        <w:topLinePunct w:val="0"/>
        <w:bidi w:val="0"/>
        <w:snapToGrid/>
        <w:spacing w:line="480" w:lineRule="exact"/>
        <w:ind w:left="0" w:leftChars="0" w:right="0" w:rightChars="0" w:firstLine="0" w:firstLineChars="0"/>
        <w:jc w:val="center"/>
        <w:textAlignment w:val="auto"/>
        <w:rPr>
          <w:rFonts w:hint="eastAsia" w:ascii="仿宋_GB2312"/>
          <w:sz w:val="28"/>
          <w:szCs w:val="28"/>
          <w:lang w:eastAsia="zh-CN"/>
        </w:rPr>
      </w:pPr>
    </w:p>
    <w:p w14:paraId="4C0944A6">
      <w:pPr>
        <w:pStyle w:val="2"/>
        <w:keepNext w:val="0"/>
        <w:keepLines w:val="0"/>
        <w:pageBreakBefore w:val="0"/>
        <w:kinsoku/>
        <w:wordWrap/>
        <w:overflowPunct/>
        <w:topLinePunct w:val="0"/>
        <w:bidi w:val="0"/>
        <w:snapToGrid/>
        <w:spacing w:line="480" w:lineRule="exact"/>
        <w:ind w:right="0" w:rightChars="0"/>
        <w:textAlignment w:val="auto"/>
        <w:rPr>
          <w:rFonts w:hint="eastAsia"/>
        </w:rPr>
      </w:pPr>
    </w:p>
    <w:p w14:paraId="261043BB">
      <w:pPr>
        <w:pStyle w:val="2"/>
        <w:keepNext w:val="0"/>
        <w:keepLines w:val="0"/>
        <w:pageBreakBefore w:val="0"/>
        <w:kinsoku/>
        <w:wordWrap/>
        <w:overflowPunct/>
        <w:topLinePunct w:val="0"/>
        <w:bidi w:val="0"/>
        <w:snapToGrid/>
        <w:spacing w:line="480" w:lineRule="exact"/>
        <w:ind w:right="0" w:rightChars="0"/>
        <w:textAlignment w:val="auto"/>
        <w:rPr>
          <w:rFonts w:hint="eastAsia"/>
        </w:rPr>
      </w:pPr>
    </w:p>
    <w:p w14:paraId="6B0BEF41">
      <w:pPr>
        <w:pStyle w:val="2"/>
        <w:keepNext w:val="0"/>
        <w:keepLines w:val="0"/>
        <w:pageBreakBefore w:val="0"/>
        <w:kinsoku/>
        <w:wordWrap/>
        <w:overflowPunct/>
        <w:topLinePunct w:val="0"/>
        <w:bidi w:val="0"/>
        <w:snapToGrid/>
        <w:spacing w:line="480" w:lineRule="exact"/>
        <w:ind w:right="0" w:rightChars="0"/>
        <w:textAlignment w:val="auto"/>
        <w:rPr>
          <w:rFonts w:hint="eastAsia"/>
        </w:rPr>
      </w:pPr>
    </w:p>
    <w:p w14:paraId="3AE910A5">
      <w:pPr>
        <w:keepNext w:val="0"/>
        <w:keepLines w:val="0"/>
        <w:pageBreakBefore w:val="0"/>
        <w:widowControl w:val="0"/>
        <w:kinsoku/>
        <w:wordWrap/>
        <w:overflowPunct/>
        <w:topLinePunct w:val="0"/>
        <w:autoSpaceDE/>
        <w:autoSpaceDN/>
        <w:bidi w:val="0"/>
        <w:adjustRightInd/>
        <w:snapToGrid/>
        <w:spacing w:after="313" w:afterLines="100" w:line="480" w:lineRule="exact"/>
        <w:ind w:left="0" w:leftChars="0" w:right="0" w:rightChars="0" w:firstLine="0" w:firstLineChars="0"/>
        <w:jc w:val="both"/>
        <w:textAlignment w:val="auto"/>
        <w:outlineLvl w:val="9"/>
        <w:rPr>
          <w:rFonts w:hint="eastAsia" w:ascii="方正小标宋简体" w:hAnsi="宋体" w:eastAsia="方正小标宋简体" w:cs="宋体"/>
          <w:bCs/>
          <w:kern w:val="0"/>
          <w:sz w:val="32"/>
          <w:szCs w:val="32"/>
          <w:lang w:val="en-US" w:eastAsia="zh-CN"/>
        </w:rPr>
      </w:pPr>
      <w:r>
        <w:rPr>
          <w:rFonts w:hint="eastAsia" w:ascii="方正小标宋简体" w:hAnsi="宋体" w:eastAsia="方正小标宋简体" w:cs="宋体"/>
          <w:bCs/>
          <w:kern w:val="0"/>
          <w:sz w:val="32"/>
          <w:szCs w:val="32"/>
          <w:lang w:val="en-US" w:eastAsia="zh-CN"/>
        </w:rPr>
        <w:t>附件：</w:t>
      </w:r>
    </w:p>
    <w:p w14:paraId="4DDC1F0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新干县人民检察院工作报告</w:t>
      </w:r>
      <w:r>
        <w:rPr>
          <w:rFonts w:hint="eastAsia" w:ascii="方正小标宋简体" w:hAnsi="宋体" w:eastAsia="方正小标宋简体" w:cs="宋体"/>
          <w:bCs/>
          <w:kern w:val="0"/>
          <w:sz w:val="44"/>
          <w:szCs w:val="44"/>
          <w:lang w:eastAsia="zh-CN"/>
        </w:rPr>
        <w:t>用语说明</w:t>
      </w:r>
    </w:p>
    <w:p w14:paraId="603087FC">
      <w:pPr>
        <w:pStyle w:val="11"/>
        <w:keepNext w:val="0"/>
        <w:keepLines w:val="0"/>
        <w:pageBreakBefore w:val="0"/>
        <w:kinsoku/>
        <w:wordWrap/>
        <w:overflowPunct/>
        <w:topLinePunct w:val="0"/>
        <w:bidi w:val="0"/>
        <w:snapToGrid/>
        <w:spacing w:before="0" w:beforeAutospacing="0" w:after="0" w:afterAutospacing="0" w:line="480" w:lineRule="exact"/>
        <w:ind w:left="0" w:leftChars="0" w:right="0" w:rightChars="0" w:firstLine="643" w:firstLineChars="200"/>
        <w:jc w:val="both"/>
        <w:textAlignment w:val="auto"/>
        <w:rPr>
          <w:rFonts w:hint="eastAsia" w:ascii="楷体_GB2312" w:hAnsi="Times New Roman" w:eastAsia="楷体_GB2312" w:cs="Times New Roman"/>
          <w:b/>
          <w:bCs/>
          <w:color w:val="000000"/>
          <w:kern w:val="2"/>
          <w:sz w:val="32"/>
          <w:szCs w:val="32"/>
          <w:lang w:val="en-US" w:eastAsia="zh-CN" w:bidi="ar-SA"/>
        </w:rPr>
      </w:pPr>
    </w:p>
    <w:p w14:paraId="4929110D">
      <w:pPr>
        <w:pStyle w:val="11"/>
        <w:keepNext w:val="0"/>
        <w:keepLines w:val="0"/>
        <w:pageBreakBefore w:val="0"/>
        <w:kinsoku/>
        <w:wordWrap/>
        <w:overflowPunct/>
        <w:topLinePunct w:val="0"/>
        <w:bidi w:val="0"/>
        <w:snapToGrid/>
        <w:spacing w:before="0" w:beforeAutospacing="0" w:after="0" w:afterAutospacing="0" w:line="480" w:lineRule="exact"/>
        <w:ind w:left="0" w:leftChars="0" w:right="0" w:rightChars="0" w:firstLine="643" w:firstLineChars="200"/>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ascii="楷体_GB2312" w:hAnsi="Times New Roman" w:eastAsia="楷体_GB2312" w:cs="Times New Roman"/>
          <w:b/>
          <w:bCs/>
          <w:color w:val="000000"/>
          <w:kern w:val="2"/>
          <w:sz w:val="32"/>
          <w:szCs w:val="32"/>
          <w:lang w:val="en-US" w:eastAsia="zh-CN" w:bidi="ar-SA"/>
        </w:rPr>
        <w:t>1.认罪认罚从宽制度：</w:t>
      </w:r>
      <w:r>
        <w:rPr>
          <w:rFonts w:hint="eastAsia" w:ascii="仿宋_GB2312" w:hAnsi="Times New Roman" w:eastAsia="仿宋_GB2312" w:cs="Times New Roman"/>
          <w:color w:val="000000"/>
          <w:kern w:val="2"/>
          <w:sz w:val="32"/>
          <w:szCs w:val="32"/>
          <w:lang w:val="en-US" w:eastAsia="zh-CN" w:bidi="ar-SA"/>
        </w:rPr>
        <w:t>是指犯罪嫌疑人、被告人自愿如实供述自己的犯罪，对于指控犯罪事实没有异议，同意检察机关的量刑意见并签署具结书的案件，可以依法从宽处理。</w:t>
      </w:r>
    </w:p>
    <w:p w14:paraId="5733885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_GB2312" w:hAnsi="Times New Roman" w:eastAsia="仿宋_GB2312" w:cs="Times New Roman"/>
          <w:color w:val="000000"/>
          <w:kern w:val="2"/>
          <w:sz w:val="32"/>
          <w:szCs w:val="32"/>
          <w:lang w:val="en-US" w:eastAsia="zh-CN" w:bidi="ar-SA"/>
        </w:rPr>
      </w:pPr>
      <w:r>
        <w:rPr>
          <w:rFonts w:hint="eastAsia" w:ascii="楷体_GB2312" w:eastAsia="楷体_GB2312" w:cs="Times New Roman"/>
          <w:b/>
          <w:bCs/>
          <w:color w:val="000000"/>
          <w:kern w:val="2"/>
          <w:sz w:val="32"/>
          <w:szCs w:val="32"/>
          <w:lang w:val="en-US" w:eastAsia="zh-CN" w:bidi="ar-SA"/>
        </w:rPr>
        <w:t>2.</w:t>
      </w:r>
      <w:r>
        <w:rPr>
          <w:rFonts w:hint="eastAsia" w:ascii="楷体_GB2312" w:hAnsi="Times New Roman" w:eastAsia="楷体_GB2312" w:cs="Times New Roman"/>
          <w:b/>
          <w:bCs/>
          <w:color w:val="000000"/>
          <w:kern w:val="2"/>
          <w:sz w:val="32"/>
          <w:szCs w:val="32"/>
          <w:lang w:val="en-US" w:eastAsia="zh-CN" w:bidi="ar-SA"/>
        </w:rPr>
        <w:t>一号检察建议：</w:t>
      </w:r>
      <w:r>
        <w:rPr>
          <w:rFonts w:hint="eastAsia" w:ascii="仿宋_GB2312" w:hAnsi="Times New Roman" w:eastAsia="仿宋_GB2312" w:cs="Times New Roman"/>
          <w:color w:val="000000"/>
          <w:kern w:val="2"/>
          <w:sz w:val="32"/>
          <w:szCs w:val="32"/>
          <w:lang w:val="en-US" w:eastAsia="zh-CN" w:bidi="ar-SA"/>
        </w:rPr>
        <w:t>是指最高人民检察院在2018年10月19日向教育部发送的《中华人民共和国最高人民检察院检察建议书》中,认真分析办理的性侵幼儿园儿童、中小学生犯罪案件,针对校园安全管理规定执行不严格、教职员工队伍管理不到位,以及儿童和学生法治教育、预防性侵害教育缺位等问题,提出三项具体建议。因这是最高检首次直接向国务院组成部门发送检察建议,也是最高检首次发出的社会治理创新方面的检察建议书,编号为一号,故称为“一号检察建议”。</w:t>
      </w:r>
    </w:p>
    <w:p w14:paraId="74374038">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3" w:firstLineChars="200"/>
        <w:jc w:val="both"/>
        <w:textAlignment w:val="auto"/>
        <w:rPr>
          <w:rFonts w:hint="eastAsia" w:ascii="仿宋_GB2312" w:eastAsia="仿宋_GB2312"/>
          <w:color w:val="000000"/>
          <w:sz w:val="32"/>
          <w:szCs w:val="32"/>
        </w:rPr>
      </w:pPr>
      <w:r>
        <w:rPr>
          <w:rFonts w:hint="eastAsia" w:ascii="楷体_GB2312" w:eastAsia="楷体_GB2312"/>
          <w:b/>
          <w:bCs/>
          <w:color w:val="000000"/>
          <w:sz w:val="32"/>
          <w:szCs w:val="32"/>
          <w:lang w:val="en-US" w:eastAsia="zh-CN"/>
        </w:rPr>
        <w:t>3.</w:t>
      </w:r>
      <w:r>
        <w:rPr>
          <w:rFonts w:hint="eastAsia" w:ascii="楷体_GB2312" w:eastAsia="楷体_GB2312"/>
          <w:b/>
          <w:bCs/>
          <w:color w:val="000000"/>
          <w:sz w:val="32"/>
          <w:szCs w:val="32"/>
          <w:lang w:eastAsia="zh-CN"/>
        </w:rPr>
        <w:t>公益诉讼：</w:t>
      </w:r>
      <w:r>
        <w:rPr>
          <w:rFonts w:hint="eastAsia" w:ascii="仿宋_GB2312" w:eastAsia="仿宋_GB2312"/>
          <w:color w:val="000000"/>
          <w:sz w:val="32"/>
          <w:szCs w:val="32"/>
        </w:rPr>
        <w:t>公益诉讼包括民事公益诉讼和行政公益诉讼。</w:t>
      </w:r>
    </w:p>
    <w:p w14:paraId="7EF6A3E2">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民事公益诉讼：是指人民检察院在履行职责中发现侵害英雄烈士名誉、破坏生态环境和资源保护、食品药品安全领域侵害众多消费者合法权益等损害社会公共利益的行为，在没有法律规定的机关和组织或者法律规定的机关和组织不提起诉讼的情况下，可以向人民法院提起诉讼。法律规定的机关和组织提起诉讼的，人民检察院可以支持起诉。</w:t>
      </w:r>
    </w:p>
    <w:p w14:paraId="3CE55471">
      <w:pPr>
        <w:keepNext w:val="0"/>
        <w:keepLines w:val="0"/>
        <w:pageBreakBefore w:val="0"/>
        <w:kinsoku/>
        <w:wordWrap/>
        <w:overflowPunct/>
        <w:topLinePunct w:val="0"/>
        <w:autoSpaceDE w:val="0"/>
        <w:autoSpaceDN w:val="0"/>
        <w:bidi w:val="0"/>
        <w:adjustRightInd w:val="0"/>
        <w:snapToGrid/>
        <w:spacing w:line="480" w:lineRule="exact"/>
        <w:ind w:left="0" w:leftChars="0" w:right="0" w:rightChars="0"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行政公益诉讼：是指人民检察院在履行职责中发现生态环境和资源保护、食品药品安全、国有财产保护、国有土地使用权出让等领域负有监督管理职责的行政机关违法行使职权或者不作为，致使国家利益或者社会公共利益受到侵害或者有侵害可能时，发挥民事行政检察职能，依法运用检察建议、提起公益诉讼等措施督促其纠正的法律监督活动。</w:t>
      </w:r>
    </w:p>
    <w:p w14:paraId="61A53834">
      <w:pPr>
        <w:pStyle w:val="11"/>
        <w:keepNext w:val="0"/>
        <w:keepLines w:val="0"/>
        <w:pageBreakBefore w:val="0"/>
        <w:kinsoku/>
        <w:wordWrap/>
        <w:overflowPunct/>
        <w:topLinePunct w:val="0"/>
        <w:bidi w:val="0"/>
        <w:snapToGrid/>
        <w:spacing w:before="0" w:beforeAutospacing="0" w:after="0" w:afterAutospacing="0" w:line="480" w:lineRule="exact"/>
        <w:ind w:left="0" w:leftChars="0" w:right="0" w:rightChars="0" w:firstLine="643" w:firstLineChars="200"/>
        <w:jc w:val="both"/>
        <w:textAlignment w:val="auto"/>
        <w:rPr>
          <w:rFonts w:ascii="仿宋_GB2312" w:hAnsi="Times New Roman" w:eastAsia="仿宋_GB2312" w:cs="Times New Roman"/>
          <w:color w:val="000000"/>
          <w:kern w:val="2"/>
          <w:sz w:val="32"/>
          <w:szCs w:val="32"/>
        </w:rPr>
      </w:pPr>
      <w:r>
        <w:rPr>
          <w:rFonts w:hint="eastAsia" w:ascii="楷体_GB2312" w:hAnsi="Times New Roman" w:eastAsia="楷体_GB2312" w:cs="Times New Roman"/>
          <w:b/>
          <w:bCs/>
          <w:color w:val="000000"/>
          <w:kern w:val="2"/>
          <w:sz w:val="32"/>
          <w:szCs w:val="32"/>
          <w:lang w:val="en-US" w:eastAsia="zh-CN" w:bidi="ar-SA"/>
        </w:rPr>
        <w:t>4.羁押必要性审查：</w:t>
      </w:r>
      <w:r>
        <w:rPr>
          <w:rFonts w:hint="eastAsia" w:ascii="仿宋_GB2312" w:hAnsi="Times New Roman" w:eastAsia="仿宋_GB2312" w:cs="Times New Roman"/>
          <w:color w:val="000000"/>
          <w:kern w:val="2"/>
          <w:sz w:val="32"/>
          <w:szCs w:val="32"/>
          <w:lang w:val="en-US" w:eastAsia="zh-CN" w:bidi="ar-SA"/>
        </w:rPr>
        <w:t>是指人民检察院依据《中华人民共和国刑事诉讼法》第九十三条规定，对被逮捕的犯罪嫌疑人、被告人有无继续羁押的必要性进行审查，对不需要继续羁押的，建议办案机关予以释放或者变更强制措施的监督活动。</w:t>
      </w:r>
    </w:p>
    <w:p w14:paraId="622B870A">
      <w:pPr>
        <w:pStyle w:val="11"/>
        <w:keepNext w:val="0"/>
        <w:keepLines w:val="0"/>
        <w:pageBreakBefore w:val="0"/>
        <w:kinsoku/>
        <w:wordWrap/>
        <w:overflowPunct/>
        <w:topLinePunct w:val="0"/>
        <w:bidi w:val="0"/>
        <w:snapToGrid/>
        <w:spacing w:before="0" w:beforeAutospacing="0" w:after="0" w:afterAutospacing="0" w:line="480" w:lineRule="exact"/>
        <w:ind w:left="0" w:leftChars="0" w:right="0" w:rightChars="0" w:firstLine="643" w:firstLineChars="200"/>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ascii="楷体_GB2312" w:hAnsi="Times New Roman" w:eastAsia="楷体_GB2312" w:cs="Times New Roman"/>
          <w:b/>
          <w:bCs/>
          <w:color w:val="000000"/>
          <w:kern w:val="2"/>
          <w:sz w:val="32"/>
          <w:szCs w:val="32"/>
          <w:lang w:val="en-US" w:eastAsia="zh-CN" w:bidi="ar-SA"/>
        </w:rPr>
        <w:t>5.12309检察服务中心：</w:t>
      </w:r>
      <w:r>
        <w:rPr>
          <w:rFonts w:hint="eastAsia" w:ascii="仿宋_GB2312" w:hAnsi="Times New Roman" w:eastAsia="仿宋_GB2312" w:cs="Times New Roman"/>
          <w:color w:val="000000"/>
          <w:kern w:val="2"/>
          <w:sz w:val="32"/>
          <w:szCs w:val="32"/>
          <w:lang w:val="en-US" w:eastAsia="zh-CN" w:bidi="ar-SA"/>
        </w:rPr>
        <w:t>是全国检察机关统一对外的智能化检察为民综合服务网络平台，通过12309网站、12309检察服务热线（电话）、12309移动客户端（手机APP)和12309微信公众号四种渠道，向社会提供更加便捷高效的“一站式”检察服务。主要包括3大模块13项具体功能，即：检察服务（包括：控告、刑事申诉、民行申诉、国家赔偿、其他信访、法律咨询）、案件信息公开（包括：案件程序性信息查询、辩护与代理网上预约、重要案件信息、法律文书公开，直接登录微信关注12309检察服务中心公众号或</w:t>
      </w:r>
      <w:r>
        <w:rPr>
          <w:rFonts w:hint="eastAsia" w:ascii="仿宋_GB2312" w:hAnsi="Times New Roman" w:eastAsia="仿宋_GB2312" w:cs="Times New Roman"/>
          <w:color w:val="000000"/>
          <w:kern w:val="2"/>
          <w:sz w:val="32"/>
          <w:szCs w:val="32"/>
          <w:lang w:val="en-US" w:eastAsia="zh-CN" w:bidi="ar-SA"/>
        </w:rPr>
        <w:fldChar w:fldCharType="begin"/>
      </w:r>
      <w:r>
        <w:rPr>
          <w:rFonts w:hint="eastAsia" w:ascii="仿宋_GB2312" w:hAnsi="Times New Roman" w:eastAsia="仿宋_GB2312" w:cs="Times New Roman"/>
          <w:color w:val="000000"/>
          <w:kern w:val="2"/>
          <w:sz w:val="32"/>
          <w:szCs w:val="32"/>
          <w:lang w:val="en-US" w:eastAsia="zh-CN" w:bidi="ar-SA"/>
        </w:rPr>
        <w:instrText xml:space="preserve"> HYPERLINK "http://www.ajxxgk.jcy.gov.cn进行注册登陆或qq2432853205" </w:instrText>
      </w:r>
      <w:r>
        <w:rPr>
          <w:rFonts w:hint="eastAsia" w:ascii="仿宋_GB2312" w:hAnsi="Times New Roman" w:eastAsia="仿宋_GB2312" w:cs="Times New Roman"/>
          <w:color w:val="000000"/>
          <w:kern w:val="2"/>
          <w:sz w:val="32"/>
          <w:szCs w:val="32"/>
          <w:lang w:val="en-US" w:eastAsia="zh-CN" w:bidi="ar-SA"/>
        </w:rPr>
        <w:fldChar w:fldCharType="separate"/>
      </w:r>
      <w:r>
        <w:rPr>
          <w:rFonts w:hint="eastAsia" w:ascii="仿宋_GB2312" w:hAnsi="Times New Roman" w:eastAsia="仿宋_GB2312" w:cs="Times New Roman"/>
          <w:color w:val="000000"/>
          <w:kern w:val="2"/>
          <w:sz w:val="32"/>
          <w:szCs w:val="32"/>
          <w:lang w:val="en-US" w:eastAsia="zh-CN" w:bidi="ar-SA"/>
        </w:rPr>
        <w:t>http://www.ajxxgk.jcy.gov.cn进行注册登录</w:t>
      </w:r>
      <w:r>
        <w:rPr>
          <w:rFonts w:hint="eastAsia" w:ascii="仿宋_GB2312" w:hAnsi="Times New Roman" w:eastAsia="仿宋_GB2312" w:cs="Times New Roman"/>
          <w:color w:val="000000"/>
          <w:kern w:val="2"/>
          <w:sz w:val="32"/>
          <w:szCs w:val="32"/>
          <w:lang w:val="en-US" w:eastAsia="zh-CN" w:bidi="ar-SA"/>
        </w:rPr>
        <w:fldChar w:fldCharType="end"/>
      </w:r>
      <w:r>
        <w:rPr>
          <w:rFonts w:hint="eastAsia" w:ascii="仿宋_GB2312" w:hAnsi="Times New Roman" w:eastAsia="仿宋_GB2312" w:cs="Times New Roman"/>
          <w:color w:val="000000"/>
          <w:kern w:val="2"/>
          <w:sz w:val="32"/>
          <w:szCs w:val="32"/>
          <w:lang w:val="en-US" w:eastAsia="zh-CN" w:bidi="ar-SA"/>
        </w:rPr>
        <w:t>）、接受监督（包括:人大代表政协委员联络平台、人民监督员监督服务、群众意见建议箱）。</w:t>
      </w:r>
    </w:p>
    <w:p w14:paraId="50D10883">
      <w:pPr>
        <w:pStyle w:val="11"/>
        <w:keepNext w:val="0"/>
        <w:keepLines w:val="0"/>
        <w:pageBreakBefore w:val="0"/>
        <w:kinsoku/>
        <w:wordWrap/>
        <w:overflowPunct/>
        <w:topLinePunct w:val="0"/>
        <w:bidi w:val="0"/>
        <w:snapToGrid/>
        <w:spacing w:before="0" w:beforeAutospacing="0" w:after="0" w:afterAutospacing="0" w:line="480" w:lineRule="exact"/>
        <w:ind w:left="0" w:leftChars="0" w:right="0" w:rightChars="0" w:firstLine="643" w:firstLineChars="200"/>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ascii="楷体_GB2312" w:hAnsi="Times New Roman" w:eastAsia="楷体_GB2312" w:cs="Times New Roman"/>
          <w:b/>
          <w:bCs/>
          <w:color w:val="000000"/>
          <w:kern w:val="2"/>
          <w:sz w:val="32"/>
          <w:szCs w:val="32"/>
          <w:lang w:val="en-US" w:eastAsia="zh-CN" w:bidi="ar-SA"/>
        </w:rPr>
        <w:t>6.四大检察：</w:t>
      </w:r>
      <w:r>
        <w:rPr>
          <w:rFonts w:hint="eastAsia" w:ascii="仿宋_GB2312" w:hAnsi="Times New Roman" w:eastAsia="仿宋_GB2312" w:cs="Times New Roman"/>
          <w:color w:val="000000"/>
          <w:kern w:val="2"/>
          <w:sz w:val="32"/>
          <w:szCs w:val="32"/>
          <w:lang w:val="en-US" w:eastAsia="zh-CN" w:bidi="ar-SA"/>
        </w:rPr>
        <w:t>是指最高人民检察院党组书记、检察长张军在2019年1月3日新闻发布会答记者问中，将检察职能系统地划分为刑事、民事、行政和公益诉讼四大检察。</w:t>
      </w:r>
    </w:p>
    <w:p w14:paraId="1D8FE506">
      <w:pPr>
        <w:keepNext w:val="0"/>
        <w:keepLines w:val="0"/>
        <w:pageBreakBefore w:val="0"/>
        <w:kinsoku/>
        <w:wordWrap/>
        <w:overflowPunct/>
        <w:topLinePunct w:val="0"/>
        <w:bidi w:val="0"/>
        <w:snapToGrid/>
        <w:spacing w:line="480" w:lineRule="exact"/>
        <w:ind w:right="0" w:rightChars="0"/>
        <w:textAlignment w:val="auto"/>
        <w:rPr>
          <w:rFonts w:ascii="仿宋_GB2312" w:eastAsia="仿宋_GB2312"/>
          <w:sz w:val="30"/>
          <w:szCs w:val="30"/>
        </w:rPr>
      </w:pPr>
    </w:p>
    <w:p w14:paraId="51B860F9">
      <w:pPr>
        <w:pStyle w:val="2"/>
        <w:keepNext w:val="0"/>
        <w:keepLines w:val="0"/>
        <w:pageBreakBefore w:val="0"/>
        <w:kinsoku/>
        <w:wordWrap/>
        <w:overflowPunct/>
        <w:topLinePunct w:val="0"/>
        <w:bidi w:val="0"/>
        <w:snapToGrid/>
        <w:spacing w:line="480" w:lineRule="exact"/>
        <w:ind w:right="0" w:rightChars="0"/>
        <w:textAlignment w:val="auto"/>
      </w:pPr>
    </w:p>
    <w:p w14:paraId="1574BB19">
      <w:pPr>
        <w:pStyle w:val="2"/>
        <w:keepNext w:val="0"/>
        <w:keepLines w:val="0"/>
        <w:pageBreakBefore w:val="0"/>
        <w:kinsoku/>
        <w:wordWrap/>
        <w:overflowPunct/>
        <w:topLinePunct w:val="0"/>
        <w:bidi w:val="0"/>
        <w:snapToGrid/>
        <w:spacing w:line="480" w:lineRule="exact"/>
        <w:ind w:right="0" w:rightChars="0"/>
        <w:textAlignment w:val="auto"/>
        <w:rPr>
          <w:rFonts w:ascii="仿宋_GB2312" w:eastAsia="仿宋_GB2312"/>
          <w:sz w:val="28"/>
          <w:szCs w:val="28"/>
        </w:rPr>
      </w:pPr>
    </w:p>
    <w:p w14:paraId="700457A0">
      <w:pPr>
        <w:pStyle w:val="2"/>
        <w:keepNext w:val="0"/>
        <w:keepLines w:val="0"/>
        <w:pageBreakBefore w:val="0"/>
        <w:kinsoku/>
        <w:wordWrap/>
        <w:overflowPunct/>
        <w:topLinePunct w:val="0"/>
        <w:bidi w:val="0"/>
        <w:snapToGrid/>
        <w:spacing w:line="480" w:lineRule="exact"/>
        <w:ind w:right="0" w:rightChars="0"/>
        <w:textAlignment w:val="auto"/>
        <w:rPr>
          <w:rFonts w:ascii="仿宋_GB2312" w:eastAsia="仿宋_GB2312"/>
          <w:sz w:val="28"/>
          <w:szCs w:val="28"/>
        </w:rPr>
      </w:pPr>
    </w:p>
    <w:p w14:paraId="54DB9508">
      <w:pPr>
        <w:pStyle w:val="2"/>
        <w:keepNext w:val="0"/>
        <w:keepLines w:val="0"/>
        <w:pageBreakBefore w:val="0"/>
        <w:kinsoku/>
        <w:wordWrap/>
        <w:overflowPunct/>
        <w:topLinePunct w:val="0"/>
        <w:bidi w:val="0"/>
        <w:snapToGrid/>
        <w:spacing w:line="480" w:lineRule="exact"/>
        <w:ind w:right="0" w:rightChars="0"/>
        <w:textAlignment w:val="auto"/>
        <w:rPr>
          <w:rFonts w:ascii="仿宋_GB2312" w:eastAsia="仿宋_GB2312"/>
          <w:sz w:val="28"/>
          <w:szCs w:val="28"/>
        </w:rPr>
      </w:pPr>
    </w:p>
    <w:p w14:paraId="3542B980">
      <w:pPr>
        <w:keepNext w:val="0"/>
        <w:keepLines w:val="0"/>
        <w:pageBreakBefore w:val="0"/>
        <w:kinsoku/>
        <w:wordWrap/>
        <w:overflowPunct/>
        <w:topLinePunct w:val="0"/>
        <w:bidi w:val="0"/>
        <w:snapToGrid/>
        <w:spacing w:line="480" w:lineRule="exact"/>
        <w:ind w:left="-540" w:leftChars="-257" w:right="0" w:rightChars="0" w:firstLine="504" w:firstLineChars="180"/>
        <w:textAlignment w:val="auto"/>
        <w:rPr>
          <w:rFonts w:ascii="仿宋_GB2312" w:eastAsia="仿宋_GB2312"/>
          <w:sz w:val="28"/>
          <w:szCs w:val="28"/>
        </w:rPr>
      </w:pPr>
      <w:r>
        <w:rPr>
          <w:rFonts w:ascii="仿宋_GB2312" w:eastAsia="仿宋_GB2312"/>
          <w:sz w:val="28"/>
          <w:szCs w:val="28"/>
        </w:rPr>
        <w:pict>
          <v:line id="_x0000_s1035" o:spid="_x0000_s1035" o:spt="20" style="position:absolute;left:0pt;margin-left:0pt;margin-top:17.8pt;height:0pt;width:441pt;z-index:251660288;mso-width-relative:page;mso-height-relative:page;" coordsize="21600,21600">
            <v:path arrowok="t"/>
            <v:fill focussize="0,0"/>
            <v:stroke/>
            <v:imagedata o:title=""/>
            <o:lock v:ext="edit"/>
          </v:line>
        </w:pict>
      </w:r>
    </w:p>
    <w:p w14:paraId="28547322">
      <w:pPr>
        <w:keepNext w:val="0"/>
        <w:keepLines w:val="0"/>
        <w:pageBreakBefore w:val="0"/>
        <w:kinsoku/>
        <w:wordWrap/>
        <w:overflowPunct/>
        <w:topLinePunct w:val="0"/>
        <w:bidi w:val="0"/>
        <w:snapToGrid/>
        <w:spacing w:line="480" w:lineRule="exact"/>
        <w:ind w:left="-540" w:leftChars="-257" w:right="0" w:rightChars="0" w:firstLine="784" w:firstLineChars="280"/>
        <w:textAlignment w:val="auto"/>
        <w:rPr>
          <w:rFonts w:hint="eastAsia" w:ascii="仿宋_GB2312"/>
          <w:sz w:val="28"/>
          <w:szCs w:val="28"/>
          <w:lang w:val="en-US" w:eastAsia="zh-CN"/>
        </w:rPr>
      </w:pPr>
      <w:r>
        <w:rPr>
          <w:rFonts w:hint="eastAsia" w:ascii="仿宋_GB2312" w:eastAsia="仿宋_GB2312"/>
          <w:sz w:val="28"/>
          <w:szCs w:val="28"/>
        </w:rPr>
        <w:t xml:space="preserve">县十七届人大五次会议秘书处 </w:t>
      </w:r>
      <w:r>
        <w:rPr>
          <w:rFonts w:ascii="仿宋_GB2312" w:eastAsia="仿宋_GB2312"/>
          <w:sz w:val="28"/>
          <w:szCs w:val="28"/>
        </w:rPr>
        <w:pict>
          <v:line id="_x0000_s1036" o:spid="_x0000_s1036" o:spt="20" style="position:absolute;left:0pt;margin-left:0pt;margin-top:24.8pt;height:0pt;width:441pt;z-index:251659264;mso-width-relative:page;mso-height-relative:page;" coordsize="21600,21600">
            <v:path arrowok="t"/>
            <v:fill focussize="0,0"/>
            <v:stroke/>
            <v:imagedata o:title=""/>
            <o:lock v:ext="edit"/>
          </v:line>
        </w:pict>
      </w:r>
      <w:r>
        <w:rPr>
          <w:rFonts w:hint="eastAsia" w:ascii="仿宋_GB2312" w:eastAsia="仿宋_GB2312"/>
          <w:sz w:val="28"/>
          <w:szCs w:val="28"/>
        </w:rPr>
        <w:t xml:space="preserve">                2020年5月12日印</w:t>
      </w:r>
    </w:p>
    <w:sectPr>
      <w:headerReference r:id="rId5" w:type="default"/>
      <w:footerReference r:id="rId6" w:type="default"/>
      <w:footerReference r:id="rId7" w:type="even"/>
      <w:pgSz w:w="11907" w:h="16840"/>
      <w:pgMar w:top="1440" w:right="1469" w:bottom="1440" w:left="144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5CBF2">
    <w:pPr>
      <w:pStyle w:val="9"/>
      <w:framePr w:wrap="around" w:vAnchor="text" w:hAnchor="margin" w:xAlign="outside" w:y="1"/>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- 1 -</w:t>
    </w:r>
    <w:r>
      <w:rPr>
        <w:rFonts w:ascii="宋体" w:hAnsi="宋体"/>
        <w:sz w:val="28"/>
        <w:szCs w:val="28"/>
      </w:rPr>
      <w:fldChar w:fldCharType="end"/>
    </w:r>
  </w:p>
  <w:p w14:paraId="2C6318C6">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F1FA8">
    <w:pPr>
      <w:pStyle w:val="9"/>
      <w:framePr w:wrap="around" w:vAnchor="text" w:hAnchor="margin" w:xAlign="outside" w:y="1"/>
      <w:rPr>
        <w:rStyle w:val="16"/>
      </w:rPr>
    </w:pPr>
    <w:r>
      <w:fldChar w:fldCharType="begin"/>
    </w:r>
    <w:r>
      <w:rPr>
        <w:rStyle w:val="16"/>
      </w:rPr>
      <w:instrText xml:space="preserve">PAGE  </w:instrText>
    </w:r>
    <w:r>
      <w:fldChar w:fldCharType="end"/>
    </w:r>
  </w:p>
  <w:p w14:paraId="40107AF2">
    <w:pPr>
      <w:pStyle w:val="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38D3F">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2BB"/>
    <w:rsid w:val="00000DCD"/>
    <w:rsid w:val="00001CDF"/>
    <w:rsid w:val="00001FCC"/>
    <w:rsid w:val="000022E6"/>
    <w:rsid w:val="0001422B"/>
    <w:rsid w:val="00015E40"/>
    <w:rsid w:val="000214C4"/>
    <w:rsid w:val="00021CC9"/>
    <w:rsid w:val="00027DA6"/>
    <w:rsid w:val="00027ED9"/>
    <w:rsid w:val="00030494"/>
    <w:rsid w:val="00031137"/>
    <w:rsid w:val="00034FAD"/>
    <w:rsid w:val="000354C7"/>
    <w:rsid w:val="00035D87"/>
    <w:rsid w:val="00036162"/>
    <w:rsid w:val="00037DBC"/>
    <w:rsid w:val="00040600"/>
    <w:rsid w:val="00041141"/>
    <w:rsid w:val="00041289"/>
    <w:rsid w:val="00042A59"/>
    <w:rsid w:val="000437D7"/>
    <w:rsid w:val="00046F8A"/>
    <w:rsid w:val="000477AB"/>
    <w:rsid w:val="00047F94"/>
    <w:rsid w:val="000512B1"/>
    <w:rsid w:val="0005177A"/>
    <w:rsid w:val="0005292D"/>
    <w:rsid w:val="000555A9"/>
    <w:rsid w:val="00056336"/>
    <w:rsid w:val="00060592"/>
    <w:rsid w:val="00060632"/>
    <w:rsid w:val="00061451"/>
    <w:rsid w:val="000622BB"/>
    <w:rsid w:val="000645DC"/>
    <w:rsid w:val="0006676F"/>
    <w:rsid w:val="00066972"/>
    <w:rsid w:val="00067874"/>
    <w:rsid w:val="00070A70"/>
    <w:rsid w:val="0007117E"/>
    <w:rsid w:val="0007313C"/>
    <w:rsid w:val="00076681"/>
    <w:rsid w:val="00081864"/>
    <w:rsid w:val="00090E66"/>
    <w:rsid w:val="000924FE"/>
    <w:rsid w:val="00092F04"/>
    <w:rsid w:val="00095096"/>
    <w:rsid w:val="0009643B"/>
    <w:rsid w:val="000A1A10"/>
    <w:rsid w:val="000A5154"/>
    <w:rsid w:val="000A7922"/>
    <w:rsid w:val="000B0461"/>
    <w:rsid w:val="000B160D"/>
    <w:rsid w:val="000B22C0"/>
    <w:rsid w:val="000B28E9"/>
    <w:rsid w:val="000B46B8"/>
    <w:rsid w:val="000B62DE"/>
    <w:rsid w:val="000C18EB"/>
    <w:rsid w:val="000C3CF2"/>
    <w:rsid w:val="000C49EB"/>
    <w:rsid w:val="000C4BEB"/>
    <w:rsid w:val="000C623E"/>
    <w:rsid w:val="000D1396"/>
    <w:rsid w:val="000D32F9"/>
    <w:rsid w:val="000D3FFA"/>
    <w:rsid w:val="000D4C38"/>
    <w:rsid w:val="000D61BA"/>
    <w:rsid w:val="000D6623"/>
    <w:rsid w:val="000D7142"/>
    <w:rsid w:val="000D7397"/>
    <w:rsid w:val="000E06E2"/>
    <w:rsid w:val="000E0CB8"/>
    <w:rsid w:val="000E4FB5"/>
    <w:rsid w:val="000E627A"/>
    <w:rsid w:val="000F126C"/>
    <w:rsid w:val="000F1511"/>
    <w:rsid w:val="000F17D5"/>
    <w:rsid w:val="000F6B20"/>
    <w:rsid w:val="00100560"/>
    <w:rsid w:val="00101B65"/>
    <w:rsid w:val="00102BD0"/>
    <w:rsid w:val="001034E9"/>
    <w:rsid w:val="00111D8F"/>
    <w:rsid w:val="00112954"/>
    <w:rsid w:val="0011324C"/>
    <w:rsid w:val="001157D1"/>
    <w:rsid w:val="00115E89"/>
    <w:rsid w:val="00120752"/>
    <w:rsid w:val="00121DA8"/>
    <w:rsid w:val="00123F38"/>
    <w:rsid w:val="0012604C"/>
    <w:rsid w:val="00127CDF"/>
    <w:rsid w:val="00131625"/>
    <w:rsid w:val="00135D0B"/>
    <w:rsid w:val="00137367"/>
    <w:rsid w:val="0014036C"/>
    <w:rsid w:val="001436E7"/>
    <w:rsid w:val="001454E2"/>
    <w:rsid w:val="0014626B"/>
    <w:rsid w:val="001470FA"/>
    <w:rsid w:val="00147A51"/>
    <w:rsid w:val="00151AE3"/>
    <w:rsid w:val="00152EDA"/>
    <w:rsid w:val="00153B99"/>
    <w:rsid w:val="001558EE"/>
    <w:rsid w:val="00155F20"/>
    <w:rsid w:val="0015645D"/>
    <w:rsid w:val="0015703E"/>
    <w:rsid w:val="00165DE4"/>
    <w:rsid w:val="00166E3D"/>
    <w:rsid w:val="00166E71"/>
    <w:rsid w:val="00170CFD"/>
    <w:rsid w:val="001742F0"/>
    <w:rsid w:val="00175851"/>
    <w:rsid w:val="00185A2E"/>
    <w:rsid w:val="0019061B"/>
    <w:rsid w:val="00195DE4"/>
    <w:rsid w:val="00197B3D"/>
    <w:rsid w:val="001A26BF"/>
    <w:rsid w:val="001A590A"/>
    <w:rsid w:val="001B1111"/>
    <w:rsid w:val="001B3392"/>
    <w:rsid w:val="001B5249"/>
    <w:rsid w:val="001B5408"/>
    <w:rsid w:val="001C1063"/>
    <w:rsid w:val="001C1254"/>
    <w:rsid w:val="001D2F16"/>
    <w:rsid w:val="001D7601"/>
    <w:rsid w:val="001E3ABF"/>
    <w:rsid w:val="001E4F3D"/>
    <w:rsid w:val="001E7E0C"/>
    <w:rsid w:val="001F3CF8"/>
    <w:rsid w:val="001F4339"/>
    <w:rsid w:val="0020526A"/>
    <w:rsid w:val="002071CF"/>
    <w:rsid w:val="00212A5A"/>
    <w:rsid w:val="00213F9F"/>
    <w:rsid w:val="00223124"/>
    <w:rsid w:val="00223F56"/>
    <w:rsid w:val="00226F66"/>
    <w:rsid w:val="0023077A"/>
    <w:rsid w:val="00233625"/>
    <w:rsid w:val="0023483A"/>
    <w:rsid w:val="00234FE4"/>
    <w:rsid w:val="00234FEF"/>
    <w:rsid w:val="00244FC1"/>
    <w:rsid w:val="0024513E"/>
    <w:rsid w:val="002467B5"/>
    <w:rsid w:val="0024739E"/>
    <w:rsid w:val="00251295"/>
    <w:rsid w:val="002514A9"/>
    <w:rsid w:val="00253074"/>
    <w:rsid w:val="0025404A"/>
    <w:rsid w:val="00254EC0"/>
    <w:rsid w:val="0025644B"/>
    <w:rsid w:val="00260640"/>
    <w:rsid w:val="002625CE"/>
    <w:rsid w:val="002646C0"/>
    <w:rsid w:val="002657BD"/>
    <w:rsid w:val="00271A58"/>
    <w:rsid w:val="00272556"/>
    <w:rsid w:val="002727D4"/>
    <w:rsid w:val="00280C86"/>
    <w:rsid w:val="00284282"/>
    <w:rsid w:val="00284F4B"/>
    <w:rsid w:val="002867C7"/>
    <w:rsid w:val="00292927"/>
    <w:rsid w:val="002A0871"/>
    <w:rsid w:val="002A49F0"/>
    <w:rsid w:val="002A5489"/>
    <w:rsid w:val="002B1748"/>
    <w:rsid w:val="002B61E7"/>
    <w:rsid w:val="002C28B8"/>
    <w:rsid w:val="002C5661"/>
    <w:rsid w:val="002C5782"/>
    <w:rsid w:val="002C5A87"/>
    <w:rsid w:val="002C6E19"/>
    <w:rsid w:val="002D66C3"/>
    <w:rsid w:val="002D7204"/>
    <w:rsid w:val="002E28F3"/>
    <w:rsid w:val="002E444E"/>
    <w:rsid w:val="002E4D8B"/>
    <w:rsid w:val="002E54A0"/>
    <w:rsid w:val="002E6418"/>
    <w:rsid w:val="002E757F"/>
    <w:rsid w:val="002F1EE7"/>
    <w:rsid w:val="002F2384"/>
    <w:rsid w:val="002F2C5C"/>
    <w:rsid w:val="002F4F28"/>
    <w:rsid w:val="002F5386"/>
    <w:rsid w:val="00301A6B"/>
    <w:rsid w:val="003046A2"/>
    <w:rsid w:val="00313386"/>
    <w:rsid w:val="003134CE"/>
    <w:rsid w:val="0031666D"/>
    <w:rsid w:val="003205A0"/>
    <w:rsid w:val="0032113E"/>
    <w:rsid w:val="00324E91"/>
    <w:rsid w:val="00326A91"/>
    <w:rsid w:val="003272AE"/>
    <w:rsid w:val="00330884"/>
    <w:rsid w:val="00334FF6"/>
    <w:rsid w:val="003358E0"/>
    <w:rsid w:val="00336FE2"/>
    <w:rsid w:val="00337CF4"/>
    <w:rsid w:val="00340F4D"/>
    <w:rsid w:val="0034203D"/>
    <w:rsid w:val="00342F4E"/>
    <w:rsid w:val="00350898"/>
    <w:rsid w:val="00350943"/>
    <w:rsid w:val="00352287"/>
    <w:rsid w:val="00353BB5"/>
    <w:rsid w:val="003564A5"/>
    <w:rsid w:val="003574EF"/>
    <w:rsid w:val="00361E7D"/>
    <w:rsid w:val="00363369"/>
    <w:rsid w:val="003656CD"/>
    <w:rsid w:val="003721CA"/>
    <w:rsid w:val="003738FC"/>
    <w:rsid w:val="00373C70"/>
    <w:rsid w:val="00373EBE"/>
    <w:rsid w:val="00374FAB"/>
    <w:rsid w:val="00380629"/>
    <w:rsid w:val="003813DC"/>
    <w:rsid w:val="00381B37"/>
    <w:rsid w:val="0038254C"/>
    <w:rsid w:val="003826AC"/>
    <w:rsid w:val="003874C8"/>
    <w:rsid w:val="0039307F"/>
    <w:rsid w:val="00393631"/>
    <w:rsid w:val="00393932"/>
    <w:rsid w:val="00393D7E"/>
    <w:rsid w:val="00393E09"/>
    <w:rsid w:val="00397E62"/>
    <w:rsid w:val="003A1FE2"/>
    <w:rsid w:val="003A3B9E"/>
    <w:rsid w:val="003A430E"/>
    <w:rsid w:val="003A432B"/>
    <w:rsid w:val="003A595E"/>
    <w:rsid w:val="003A6C64"/>
    <w:rsid w:val="003A75D5"/>
    <w:rsid w:val="003B0656"/>
    <w:rsid w:val="003B0ACD"/>
    <w:rsid w:val="003B10FD"/>
    <w:rsid w:val="003B3B9C"/>
    <w:rsid w:val="003C15AD"/>
    <w:rsid w:val="003C26FE"/>
    <w:rsid w:val="003C4222"/>
    <w:rsid w:val="003C4A97"/>
    <w:rsid w:val="003C7851"/>
    <w:rsid w:val="003D0B99"/>
    <w:rsid w:val="003D23AD"/>
    <w:rsid w:val="003D2CD7"/>
    <w:rsid w:val="003D337F"/>
    <w:rsid w:val="003D5A5C"/>
    <w:rsid w:val="003E3EDA"/>
    <w:rsid w:val="003F454D"/>
    <w:rsid w:val="003F4CF1"/>
    <w:rsid w:val="003F50F9"/>
    <w:rsid w:val="003F753A"/>
    <w:rsid w:val="003F7977"/>
    <w:rsid w:val="003F7B2C"/>
    <w:rsid w:val="00400160"/>
    <w:rsid w:val="00400A95"/>
    <w:rsid w:val="004018D5"/>
    <w:rsid w:val="0040533D"/>
    <w:rsid w:val="0040569E"/>
    <w:rsid w:val="00414FC1"/>
    <w:rsid w:val="0041676D"/>
    <w:rsid w:val="004212CB"/>
    <w:rsid w:val="004231C1"/>
    <w:rsid w:val="00427405"/>
    <w:rsid w:val="00427CF4"/>
    <w:rsid w:val="00430A1F"/>
    <w:rsid w:val="004336AD"/>
    <w:rsid w:val="00434E6D"/>
    <w:rsid w:val="00435896"/>
    <w:rsid w:val="0043684A"/>
    <w:rsid w:val="00444E25"/>
    <w:rsid w:val="00445E2F"/>
    <w:rsid w:val="0045010A"/>
    <w:rsid w:val="004520BE"/>
    <w:rsid w:val="0045326A"/>
    <w:rsid w:val="004532AC"/>
    <w:rsid w:val="00455C1E"/>
    <w:rsid w:val="00457368"/>
    <w:rsid w:val="00457A20"/>
    <w:rsid w:val="004602C3"/>
    <w:rsid w:val="004605B7"/>
    <w:rsid w:val="00463163"/>
    <w:rsid w:val="0047163B"/>
    <w:rsid w:val="00472AEC"/>
    <w:rsid w:val="00473256"/>
    <w:rsid w:val="00473BAB"/>
    <w:rsid w:val="00475DAC"/>
    <w:rsid w:val="0047710D"/>
    <w:rsid w:val="00482097"/>
    <w:rsid w:val="00482B2B"/>
    <w:rsid w:val="00483E21"/>
    <w:rsid w:val="00484454"/>
    <w:rsid w:val="00485A5D"/>
    <w:rsid w:val="0048613E"/>
    <w:rsid w:val="00486C7D"/>
    <w:rsid w:val="00491A81"/>
    <w:rsid w:val="00493267"/>
    <w:rsid w:val="004A1BAC"/>
    <w:rsid w:val="004A2B98"/>
    <w:rsid w:val="004A6C25"/>
    <w:rsid w:val="004A7ACF"/>
    <w:rsid w:val="004B305C"/>
    <w:rsid w:val="004B718B"/>
    <w:rsid w:val="004C5FA4"/>
    <w:rsid w:val="004D2866"/>
    <w:rsid w:val="004E029A"/>
    <w:rsid w:val="004E4341"/>
    <w:rsid w:val="004F2195"/>
    <w:rsid w:val="004F6A9B"/>
    <w:rsid w:val="004F7506"/>
    <w:rsid w:val="00500BFE"/>
    <w:rsid w:val="0050145D"/>
    <w:rsid w:val="00504615"/>
    <w:rsid w:val="005062B6"/>
    <w:rsid w:val="00507DD7"/>
    <w:rsid w:val="00511A72"/>
    <w:rsid w:val="005133BA"/>
    <w:rsid w:val="0051532A"/>
    <w:rsid w:val="0051532C"/>
    <w:rsid w:val="005157C3"/>
    <w:rsid w:val="00516AB7"/>
    <w:rsid w:val="00516AF6"/>
    <w:rsid w:val="0052554C"/>
    <w:rsid w:val="00527C37"/>
    <w:rsid w:val="005309A6"/>
    <w:rsid w:val="0053362B"/>
    <w:rsid w:val="00534041"/>
    <w:rsid w:val="0053531E"/>
    <w:rsid w:val="005353A6"/>
    <w:rsid w:val="00535F18"/>
    <w:rsid w:val="00542E61"/>
    <w:rsid w:val="00544FF9"/>
    <w:rsid w:val="0054751D"/>
    <w:rsid w:val="005500BC"/>
    <w:rsid w:val="00553892"/>
    <w:rsid w:val="00561FB3"/>
    <w:rsid w:val="00563A92"/>
    <w:rsid w:val="00566341"/>
    <w:rsid w:val="00572D31"/>
    <w:rsid w:val="0058052A"/>
    <w:rsid w:val="005834B8"/>
    <w:rsid w:val="00585379"/>
    <w:rsid w:val="00587B57"/>
    <w:rsid w:val="005924B9"/>
    <w:rsid w:val="005941EF"/>
    <w:rsid w:val="00594AED"/>
    <w:rsid w:val="00594E81"/>
    <w:rsid w:val="00596C67"/>
    <w:rsid w:val="005A00EF"/>
    <w:rsid w:val="005A060C"/>
    <w:rsid w:val="005A432F"/>
    <w:rsid w:val="005A62FA"/>
    <w:rsid w:val="005A699F"/>
    <w:rsid w:val="005B0083"/>
    <w:rsid w:val="005B09F4"/>
    <w:rsid w:val="005B1BD5"/>
    <w:rsid w:val="005B2B24"/>
    <w:rsid w:val="005B3DA3"/>
    <w:rsid w:val="005B6E91"/>
    <w:rsid w:val="005C2C2E"/>
    <w:rsid w:val="005C6786"/>
    <w:rsid w:val="005C67FD"/>
    <w:rsid w:val="005D16AA"/>
    <w:rsid w:val="005D1BD4"/>
    <w:rsid w:val="005D42B7"/>
    <w:rsid w:val="005D77F0"/>
    <w:rsid w:val="005E0684"/>
    <w:rsid w:val="005E18D2"/>
    <w:rsid w:val="005E6153"/>
    <w:rsid w:val="005F2B5C"/>
    <w:rsid w:val="005F34ED"/>
    <w:rsid w:val="005F540E"/>
    <w:rsid w:val="005F6D67"/>
    <w:rsid w:val="006005F5"/>
    <w:rsid w:val="0060278B"/>
    <w:rsid w:val="00602902"/>
    <w:rsid w:val="0060492C"/>
    <w:rsid w:val="0061014B"/>
    <w:rsid w:val="00614E6A"/>
    <w:rsid w:val="00627EA4"/>
    <w:rsid w:val="006325E6"/>
    <w:rsid w:val="0063275F"/>
    <w:rsid w:val="006432F8"/>
    <w:rsid w:val="00644C0A"/>
    <w:rsid w:val="0064692B"/>
    <w:rsid w:val="006500A3"/>
    <w:rsid w:val="00651994"/>
    <w:rsid w:val="00651F8F"/>
    <w:rsid w:val="00652535"/>
    <w:rsid w:val="00653A7F"/>
    <w:rsid w:val="00654D43"/>
    <w:rsid w:val="006566B2"/>
    <w:rsid w:val="00661252"/>
    <w:rsid w:val="006656A1"/>
    <w:rsid w:val="006672D7"/>
    <w:rsid w:val="00671403"/>
    <w:rsid w:val="00672937"/>
    <w:rsid w:val="00676620"/>
    <w:rsid w:val="006774E0"/>
    <w:rsid w:val="00677A2C"/>
    <w:rsid w:val="00681A47"/>
    <w:rsid w:val="00681E43"/>
    <w:rsid w:val="00691BF4"/>
    <w:rsid w:val="00691DF8"/>
    <w:rsid w:val="00693663"/>
    <w:rsid w:val="006A19A7"/>
    <w:rsid w:val="006A3941"/>
    <w:rsid w:val="006B4773"/>
    <w:rsid w:val="006B4933"/>
    <w:rsid w:val="006B7F84"/>
    <w:rsid w:val="006C0C58"/>
    <w:rsid w:val="006C360D"/>
    <w:rsid w:val="006C506F"/>
    <w:rsid w:val="006C6E3F"/>
    <w:rsid w:val="006D347B"/>
    <w:rsid w:val="006E27BA"/>
    <w:rsid w:val="006E327E"/>
    <w:rsid w:val="006E3C3D"/>
    <w:rsid w:val="006E5410"/>
    <w:rsid w:val="006E5594"/>
    <w:rsid w:val="006E65A4"/>
    <w:rsid w:val="006F100B"/>
    <w:rsid w:val="00700333"/>
    <w:rsid w:val="007062C0"/>
    <w:rsid w:val="00711DFA"/>
    <w:rsid w:val="0071456D"/>
    <w:rsid w:val="00717664"/>
    <w:rsid w:val="00721312"/>
    <w:rsid w:val="00722734"/>
    <w:rsid w:val="0072320B"/>
    <w:rsid w:val="007256C6"/>
    <w:rsid w:val="0072570E"/>
    <w:rsid w:val="00726F1F"/>
    <w:rsid w:val="007320AC"/>
    <w:rsid w:val="0073260E"/>
    <w:rsid w:val="00733199"/>
    <w:rsid w:val="007365B5"/>
    <w:rsid w:val="00736BC1"/>
    <w:rsid w:val="007379BF"/>
    <w:rsid w:val="00741E4F"/>
    <w:rsid w:val="00742CF2"/>
    <w:rsid w:val="007431F4"/>
    <w:rsid w:val="0074344D"/>
    <w:rsid w:val="00751F9C"/>
    <w:rsid w:val="007575B9"/>
    <w:rsid w:val="007619D9"/>
    <w:rsid w:val="00761B28"/>
    <w:rsid w:val="00761CFA"/>
    <w:rsid w:val="007624FB"/>
    <w:rsid w:val="00762864"/>
    <w:rsid w:val="0076301A"/>
    <w:rsid w:val="007656E4"/>
    <w:rsid w:val="007658D0"/>
    <w:rsid w:val="007710B7"/>
    <w:rsid w:val="00772F5F"/>
    <w:rsid w:val="00773DD1"/>
    <w:rsid w:val="0077505F"/>
    <w:rsid w:val="007769C0"/>
    <w:rsid w:val="007816B4"/>
    <w:rsid w:val="007826BE"/>
    <w:rsid w:val="00786BE7"/>
    <w:rsid w:val="00787B72"/>
    <w:rsid w:val="00787CFF"/>
    <w:rsid w:val="0079061D"/>
    <w:rsid w:val="00794774"/>
    <w:rsid w:val="007955FE"/>
    <w:rsid w:val="007A08F1"/>
    <w:rsid w:val="007A0F3E"/>
    <w:rsid w:val="007B0125"/>
    <w:rsid w:val="007B062B"/>
    <w:rsid w:val="007B094D"/>
    <w:rsid w:val="007B280E"/>
    <w:rsid w:val="007B345D"/>
    <w:rsid w:val="007B565E"/>
    <w:rsid w:val="007C6C04"/>
    <w:rsid w:val="007C761B"/>
    <w:rsid w:val="007C7F3B"/>
    <w:rsid w:val="007D0AD8"/>
    <w:rsid w:val="007D2607"/>
    <w:rsid w:val="007D5358"/>
    <w:rsid w:val="007E07B9"/>
    <w:rsid w:val="007E1A56"/>
    <w:rsid w:val="007E3119"/>
    <w:rsid w:val="007E73D7"/>
    <w:rsid w:val="007E785E"/>
    <w:rsid w:val="007F0277"/>
    <w:rsid w:val="007F2D2A"/>
    <w:rsid w:val="007F4553"/>
    <w:rsid w:val="008004A2"/>
    <w:rsid w:val="008009E8"/>
    <w:rsid w:val="00806E9F"/>
    <w:rsid w:val="00807EBB"/>
    <w:rsid w:val="0081412A"/>
    <w:rsid w:val="00824467"/>
    <w:rsid w:val="00826B1F"/>
    <w:rsid w:val="008320BD"/>
    <w:rsid w:val="00832951"/>
    <w:rsid w:val="00834BFE"/>
    <w:rsid w:val="00836360"/>
    <w:rsid w:val="0084276A"/>
    <w:rsid w:val="008435EF"/>
    <w:rsid w:val="00850BC1"/>
    <w:rsid w:val="008542C9"/>
    <w:rsid w:val="008542EE"/>
    <w:rsid w:val="008556C6"/>
    <w:rsid w:val="008570A2"/>
    <w:rsid w:val="00860572"/>
    <w:rsid w:val="00862EB7"/>
    <w:rsid w:val="008647B5"/>
    <w:rsid w:val="008716BB"/>
    <w:rsid w:val="0087172A"/>
    <w:rsid w:val="00873F31"/>
    <w:rsid w:val="008748CC"/>
    <w:rsid w:val="008773A9"/>
    <w:rsid w:val="00885C5D"/>
    <w:rsid w:val="00885CB5"/>
    <w:rsid w:val="00885EEE"/>
    <w:rsid w:val="00890EE5"/>
    <w:rsid w:val="0089364B"/>
    <w:rsid w:val="008947F9"/>
    <w:rsid w:val="00895D40"/>
    <w:rsid w:val="008A69F5"/>
    <w:rsid w:val="008A6F11"/>
    <w:rsid w:val="008A77D1"/>
    <w:rsid w:val="008B472E"/>
    <w:rsid w:val="008B5417"/>
    <w:rsid w:val="008B5D5D"/>
    <w:rsid w:val="008B6C80"/>
    <w:rsid w:val="008C015D"/>
    <w:rsid w:val="008C3D53"/>
    <w:rsid w:val="008C4D0D"/>
    <w:rsid w:val="008D05F0"/>
    <w:rsid w:val="008D18AE"/>
    <w:rsid w:val="008D1A97"/>
    <w:rsid w:val="008D3437"/>
    <w:rsid w:val="008D38E8"/>
    <w:rsid w:val="008D4622"/>
    <w:rsid w:val="008D5908"/>
    <w:rsid w:val="008D65BA"/>
    <w:rsid w:val="008E209B"/>
    <w:rsid w:val="008E2C00"/>
    <w:rsid w:val="008E3CD5"/>
    <w:rsid w:val="008E6144"/>
    <w:rsid w:val="008F0013"/>
    <w:rsid w:val="008F0CAC"/>
    <w:rsid w:val="008F2BEC"/>
    <w:rsid w:val="008F2FFC"/>
    <w:rsid w:val="008F3C4C"/>
    <w:rsid w:val="008F3FC3"/>
    <w:rsid w:val="008F4B74"/>
    <w:rsid w:val="008F4DF7"/>
    <w:rsid w:val="008F4E9B"/>
    <w:rsid w:val="008F55CF"/>
    <w:rsid w:val="008F5CA6"/>
    <w:rsid w:val="008F6587"/>
    <w:rsid w:val="008F68CC"/>
    <w:rsid w:val="008F79AA"/>
    <w:rsid w:val="009001A5"/>
    <w:rsid w:val="00901E83"/>
    <w:rsid w:val="00902355"/>
    <w:rsid w:val="00902611"/>
    <w:rsid w:val="00902D99"/>
    <w:rsid w:val="00902EE8"/>
    <w:rsid w:val="00903CF1"/>
    <w:rsid w:val="009102ED"/>
    <w:rsid w:val="00911AD9"/>
    <w:rsid w:val="00913119"/>
    <w:rsid w:val="009137E4"/>
    <w:rsid w:val="009150A4"/>
    <w:rsid w:val="00915519"/>
    <w:rsid w:val="0091599F"/>
    <w:rsid w:val="0091788D"/>
    <w:rsid w:val="0092006C"/>
    <w:rsid w:val="0092135A"/>
    <w:rsid w:val="00921971"/>
    <w:rsid w:val="009274C7"/>
    <w:rsid w:val="009277F7"/>
    <w:rsid w:val="00933CAE"/>
    <w:rsid w:val="009373B7"/>
    <w:rsid w:val="0094045E"/>
    <w:rsid w:val="00941206"/>
    <w:rsid w:val="00941F57"/>
    <w:rsid w:val="00943857"/>
    <w:rsid w:val="00945BF8"/>
    <w:rsid w:val="009504E9"/>
    <w:rsid w:val="00950A8C"/>
    <w:rsid w:val="00953DB8"/>
    <w:rsid w:val="009552BB"/>
    <w:rsid w:val="00963B56"/>
    <w:rsid w:val="00966368"/>
    <w:rsid w:val="00967937"/>
    <w:rsid w:val="009707B5"/>
    <w:rsid w:val="00975736"/>
    <w:rsid w:val="00975BA8"/>
    <w:rsid w:val="00977F78"/>
    <w:rsid w:val="00981BAA"/>
    <w:rsid w:val="009820AD"/>
    <w:rsid w:val="009836DA"/>
    <w:rsid w:val="00984135"/>
    <w:rsid w:val="00990BD8"/>
    <w:rsid w:val="00990E6A"/>
    <w:rsid w:val="0099159C"/>
    <w:rsid w:val="00995579"/>
    <w:rsid w:val="009A214E"/>
    <w:rsid w:val="009A5423"/>
    <w:rsid w:val="009B2DBF"/>
    <w:rsid w:val="009C1D56"/>
    <w:rsid w:val="009C27E8"/>
    <w:rsid w:val="009C3823"/>
    <w:rsid w:val="009C6047"/>
    <w:rsid w:val="009C6C15"/>
    <w:rsid w:val="009C797C"/>
    <w:rsid w:val="009D1E15"/>
    <w:rsid w:val="009D1E1C"/>
    <w:rsid w:val="009D7398"/>
    <w:rsid w:val="009E3662"/>
    <w:rsid w:val="009E37F5"/>
    <w:rsid w:val="009E7434"/>
    <w:rsid w:val="009F769E"/>
    <w:rsid w:val="009F7AE5"/>
    <w:rsid w:val="00A00F02"/>
    <w:rsid w:val="00A024A1"/>
    <w:rsid w:val="00A02678"/>
    <w:rsid w:val="00A031EC"/>
    <w:rsid w:val="00A04989"/>
    <w:rsid w:val="00A05EC0"/>
    <w:rsid w:val="00A062F3"/>
    <w:rsid w:val="00A10B24"/>
    <w:rsid w:val="00A11DA0"/>
    <w:rsid w:val="00A147A4"/>
    <w:rsid w:val="00A1514F"/>
    <w:rsid w:val="00A172EF"/>
    <w:rsid w:val="00A23345"/>
    <w:rsid w:val="00A267DE"/>
    <w:rsid w:val="00A26D1D"/>
    <w:rsid w:val="00A27F3D"/>
    <w:rsid w:val="00A34E6E"/>
    <w:rsid w:val="00A35C38"/>
    <w:rsid w:val="00A37436"/>
    <w:rsid w:val="00A41BC1"/>
    <w:rsid w:val="00A421C7"/>
    <w:rsid w:val="00A4558F"/>
    <w:rsid w:val="00A4759C"/>
    <w:rsid w:val="00A47D71"/>
    <w:rsid w:val="00A5263A"/>
    <w:rsid w:val="00A54E5F"/>
    <w:rsid w:val="00A55229"/>
    <w:rsid w:val="00A55399"/>
    <w:rsid w:val="00A55578"/>
    <w:rsid w:val="00A600D0"/>
    <w:rsid w:val="00A6444B"/>
    <w:rsid w:val="00A6649B"/>
    <w:rsid w:val="00A7010D"/>
    <w:rsid w:val="00A7093C"/>
    <w:rsid w:val="00A7117F"/>
    <w:rsid w:val="00A72B98"/>
    <w:rsid w:val="00A738FB"/>
    <w:rsid w:val="00A75D89"/>
    <w:rsid w:val="00A775BE"/>
    <w:rsid w:val="00A844BB"/>
    <w:rsid w:val="00A844E7"/>
    <w:rsid w:val="00A85AFF"/>
    <w:rsid w:val="00A87D44"/>
    <w:rsid w:val="00A9202D"/>
    <w:rsid w:val="00A9264A"/>
    <w:rsid w:val="00A927DF"/>
    <w:rsid w:val="00A92C7A"/>
    <w:rsid w:val="00A95DB0"/>
    <w:rsid w:val="00A97699"/>
    <w:rsid w:val="00AA18D4"/>
    <w:rsid w:val="00AA676B"/>
    <w:rsid w:val="00AB2841"/>
    <w:rsid w:val="00AB4101"/>
    <w:rsid w:val="00AC1253"/>
    <w:rsid w:val="00AC309A"/>
    <w:rsid w:val="00AC37F6"/>
    <w:rsid w:val="00AC4668"/>
    <w:rsid w:val="00AC535A"/>
    <w:rsid w:val="00AC536C"/>
    <w:rsid w:val="00AC71C6"/>
    <w:rsid w:val="00AC73A6"/>
    <w:rsid w:val="00AC753C"/>
    <w:rsid w:val="00AD017B"/>
    <w:rsid w:val="00AD16FC"/>
    <w:rsid w:val="00AD284D"/>
    <w:rsid w:val="00AD4F21"/>
    <w:rsid w:val="00AD5459"/>
    <w:rsid w:val="00AD67E6"/>
    <w:rsid w:val="00AD6F8E"/>
    <w:rsid w:val="00AE346E"/>
    <w:rsid w:val="00AE735E"/>
    <w:rsid w:val="00AF12B5"/>
    <w:rsid w:val="00AF3BB3"/>
    <w:rsid w:val="00AF43E7"/>
    <w:rsid w:val="00AF7621"/>
    <w:rsid w:val="00AF7AB8"/>
    <w:rsid w:val="00B015E2"/>
    <w:rsid w:val="00B05CDB"/>
    <w:rsid w:val="00B06F40"/>
    <w:rsid w:val="00B100C1"/>
    <w:rsid w:val="00B10F71"/>
    <w:rsid w:val="00B133E2"/>
    <w:rsid w:val="00B148AD"/>
    <w:rsid w:val="00B15E2B"/>
    <w:rsid w:val="00B16FE8"/>
    <w:rsid w:val="00B262CE"/>
    <w:rsid w:val="00B270EF"/>
    <w:rsid w:val="00B27C44"/>
    <w:rsid w:val="00B30FE0"/>
    <w:rsid w:val="00B326DF"/>
    <w:rsid w:val="00B345FE"/>
    <w:rsid w:val="00B346CE"/>
    <w:rsid w:val="00B37297"/>
    <w:rsid w:val="00B42240"/>
    <w:rsid w:val="00B452CE"/>
    <w:rsid w:val="00B457E8"/>
    <w:rsid w:val="00B474C9"/>
    <w:rsid w:val="00B51015"/>
    <w:rsid w:val="00B53732"/>
    <w:rsid w:val="00B5434B"/>
    <w:rsid w:val="00B54958"/>
    <w:rsid w:val="00B56E21"/>
    <w:rsid w:val="00B572FE"/>
    <w:rsid w:val="00B60C27"/>
    <w:rsid w:val="00B6237F"/>
    <w:rsid w:val="00B624CD"/>
    <w:rsid w:val="00B62DD8"/>
    <w:rsid w:val="00B6310C"/>
    <w:rsid w:val="00B63A52"/>
    <w:rsid w:val="00B63AD0"/>
    <w:rsid w:val="00B64227"/>
    <w:rsid w:val="00B64677"/>
    <w:rsid w:val="00B65A8D"/>
    <w:rsid w:val="00B65EF9"/>
    <w:rsid w:val="00B662BE"/>
    <w:rsid w:val="00B669D8"/>
    <w:rsid w:val="00B70A06"/>
    <w:rsid w:val="00B7329F"/>
    <w:rsid w:val="00B7373E"/>
    <w:rsid w:val="00B73F48"/>
    <w:rsid w:val="00B80F47"/>
    <w:rsid w:val="00B8157F"/>
    <w:rsid w:val="00B821F9"/>
    <w:rsid w:val="00B86CB4"/>
    <w:rsid w:val="00B86D94"/>
    <w:rsid w:val="00B90193"/>
    <w:rsid w:val="00B90564"/>
    <w:rsid w:val="00B93505"/>
    <w:rsid w:val="00B95C1C"/>
    <w:rsid w:val="00B96354"/>
    <w:rsid w:val="00BA22FC"/>
    <w:rsid w:val="00BA3927"/>
    <w:rsid w:val="00BA4C8E"/>
    <w:rsid w:val="00BB2E9C"/>
    <w:rsid w:val="00BC0B49"/>
    <w:rsid w:val="00BC1832"/>
    <w:rsid w:val="00BC1FCB"/>
    <w:rsid w:val="00BC402B"/>
    <w:rsid w:val="00BC4455"/>
    <w:rsid w:val="00BD1C28"/>
    <w:rsid w:val="00BD69C5"/>
    <w:rsid w:val="00BE1697"/>
    <w:rsid w:val="00BF0AD7"/>
    <w:rsid w:val="00BF4907"/>
    <w:rsid w:val="00BF6769"/>
    <w:rsid w:val="00C00C77"/>
    <w:rsid w:val="00C014A7"/>
    <w:rsid w:val="00C03144"/>
    <w:rsid w:val="00C03D14"/>
    <w:rsid w:val="00C0571A"/>
    <w:rsid w:val="00C058F6"/>
    <w:rsid w:val="00C06ABF"/>
    <w:rsid w:val="00C1138F"/>
    <w:rsid w:val="00C12522"/>
    <w:rsid w:val="00C135C7"/>
    <w:rsid w:val="00C1501A"/>
    <w:rsid w:val="00C1663E"/>
    <w:rsid w:val="00C20DCE"/>
    <w:rsid w:val="00C2132C"/>
    <w:rsid w:val="00C215FC"/>
    <w:rsid w:val="00C22E1E"/>
    <w:rsid w:val="00C2651D"/>
    <w:rsid w:val="00C319FC"/>
    <w:rsid w:val="00C376CE"/>
    <w:rsid w:val="00C37793"/>
    <w:rsid w:val="00C377FD"/>
    <w:rsid w:val="00C40326"/>
    <w:rsid w:val="00C41183"/>
    <w:rsid w:val="00C4183B"/>
    <w:rsid w:val="00C42199"/>
    <w:rsid w:val="00C4276F"/>
    <w:rsid w:val="00C433C8"/>
    <w:rsid w:val="00C46F51"/>
    <w:rsid w:val="00C50F90"/>
    <w:rsid w:val="00C523A8"/>
    <w:rsid w:val="00C53277"/>
    <w:rsid w:val="00C54051"/>
    <w:rsid w:val="00C54EBB"/>
    <w:rsid w:val="00C55134"/>
    <w:rsid w:val="00C55A4C"/>
    <w:rsid w:val="00C572FB"/>
    <w:rsid w:val="00C607B1"/>
    <w:rsid w:val="00C60C9C"/>
    <w:rsid w:val="00C65709"/>
    <w:rsid w:val="00C705B4"/>
    <w:rsid w:val="00C710C3"/>
    <w:rsid w:val="00C72CE9"/>
    <w:rsid w:val="00C80BE2"/>
    <w:rsid w:val="00C85355"/>
    <w:rsid w:val="00C85A51"/>
    <w:rsid w:val="00C86106"/>
    <w:rsid w:val="00CA142E"/>
    <w:rsid w:val="00CA436B"/>
    <w:rsid w:val="00CA7288"/>
    <w:rsid w:val="00CA7A71"/>
    <w:rsid w:val="00CB17A7"/>
    <w:rsid w:val="00CB1CF4"/>
    <w:rsid w:val="00CB2F4B"/>
    <w:rsid w:val="00CB64A0"/>
    <w:rsid w:val="00CB65FD"/>
    <w:rsid w:val="00CB6DDC"/>
    <w:rsid w:val="00CC4B93"/>
    <w:rsid w:val="00CC4ED7"/>
    <w:rsid w:val="00CC6D6E"/>
    <w:rsid w:val="00CC7F97"/>
    <w:rsid w:val="00CD05C9"/>
    <w:rsid w:val="00CD1B95"/>
    <w:rsid w:val="00CD2249"/>
    <w:rsid w:val="00CD4721"/>
    <w:rsid w:val="00CE4DF1"/>
    <w:rsid w:val="00CF18DC"/>
    <w:rsid w:val="00CF3EC6"/>
    <w:rsid w:val="00CF4AF5"/>
    <w:rsid w:val="00CF4E73"/>
    <w:rsid w:val="00CF6071"/>
    <w:rsid w:val="00CF726A"/>
    <w:rsid w:val="00CF7553"/>
    <w:rsid w:val="00CF79D7"/>
    <w:rsid w:val="00D00F27"/>
    <w:rsid w:val="00D01751"/>
    <w:rsid w:val="00D02F90"/>
    <w:rsid w:val="00D04828"/>
    <w:rsid w:val="00D056CF"/>
    <w:rsid w:val="00D05A4B"/>
    <w:rsid w:val="00D05CD0"/>
    <w:rsid w:val="00D078B2"/>
    <w:rsid w:val="00D11043"/>
    <w:rsid w:val="00D16EBC"/>
    <w:rsid w:val="00D172EC"/>
    <w:rsid w:val="00D20D34"/>
    <w:rsid w:val="00D21008"/>
    <w:rsid w:val="00D23D3F"/>
    <w:rsid w:val="00D311DC"/>
    <w:rsid w:val="00D31D4C"/>
    <w:rsid w:val="00D33A19"/>
    <w:rsid w:val="00D3407D"/>
    <w:rsid w:val="00D348CD"/>
    <w:rsid w:val="00D34B1A"/>
    <w:rsid w:val="00D34C12"/>
    <w:rsid w:val="00D358A6"/>
    <w:rsid w:val="00D362DF"/>
    <w:rsid w:val="00D36D9D"/>
    <w:rsid w:val="00D37C29"/>
    <w:rsid w:val="00D45C15"/>
    <w:rsid w:val="00D47593"/>
    <w:rsid w:val="00D51D03"/>
    <w:rsid w:val="00D562CF"/>
    <w:rsid w:val="00D60000"/>
    <w:rsid w:val="00D61E21"/>
    <w:rsid w:val="00D621B3"/>
    <w:rsid w:val="00D67E75"/>
    <w:rsid w:val="00D727B6"/>
    <w:rsid w:val="00D72A3B"/>
    <w:rsid w:val="00D7328C"/>
    <w:rsid w:val="00D744AB"/>
    <w:rsid w:val="00D74AEB"/>
    <w:rsid w:val="00D832BB"/>
    <w:rsid w:val="00D85243"/>
    <w:rsid w:val="00D8584D"/>
    <w:rsid w:val="00D92C2A"/>
    <w:rsid w:val="00D94137"/>
    <w:rsid w:val="00D95FE0"/>
    <w:rsid w:val="00D96390"/>
    <w:rsid w:val="00DA21B7"/>
    <w:rsid w:val="00DA33FA"/>
    <w:rsid w:val="00DA35A7"/>
    <w:rsid w:val="00DA4855"/>
    <w:rsid w:val="00DA4D2C"/>
    <w:rsid w:val="00DA71F3"/>
    <w:rsid w:val="00DB1CED"/>
    <w:rsid w:val="00DB295B"/>
    <w:rsid w:val="00DB395A"/>
    <w:rsid w:val="00DB704D"/>
    <w:rsid w:val="00DC1C83"/>
    <w:rsid w:val="00DC2D7D"/>
    <w:rsid w:val="00DC3487"/>
    <w:rsid w:val="00DC6D1E"/>
    <w:rsid w:val="00DD06D8"/>
    <w:rsid w:val="00DD1B1F"/>
    <w:rsid w:val="00DD25DE"/>
    <w:rsid w:val="00DD2C1A"/>
    <w:rsid w:val="00DD364E"/>
    <w:rsid w:val="00DD3CC5"/>
    <w:rsid w:val="00DD439F"/>
    <w:rsid w:val="00DD4A3F"/>
    <w:rsid w:val="00DD529D"/>
    <w:rsid w:val="00DE1576"/>
    <w:rsid w:val="00DE1E8D"/>
    <w:rsid w:val="00DE6633"/>
    <w:rsid w:val="00DF1ACC"/>
    <w:rsid w:val="00DF3B0F"/>
    <w:rsid w:val="00DF6133"/>
    <w:rsid w:val="00E00CF7"/>
    <w:rsid w:val="00E02EBC"/>
    <w:rsid w:val="00E04326"/>
    <w:rsid w:val="00E06323"/>
    <w:rsid w:val="00E077D1"/>
    <w:rsid w:val="00E07B8F"/>
    <w:rsid w:val="00E07DA1"/>
    <w:rsid w:val="00E11A44"/>
    <w:rsid w:val="00E12F02"/>
    <w:rsid w:val="00E15DE2"/>
    <w:rsid w:val="00E23346"/>
    <w:rsid w:val="00E35082"/>
    <w:rsid w:val="00E37951"/>
    <w:rsid w:val="00E3797D"/>
    <w:rsid w:val="00E40862"/>
    <w:rsid w:val="00E412C7"/>
    <w:rsid w:val="00E4167B"/>
    <w:rsid w:val="00E533C1"/>
    <w:rsid w:val="00E53A2C"/>
    <w:rsid w:val="00E545F8"/>
    <w:rsid w:val="00E5685E"/>
    <w:rsid w:val="00E6565F"/>
    <w:rsid w:val="00E667B9"/>
    <w:rsid w:val="00E674B2"/>
    <w:rsid w:val="00E70B25"/>
    <w:rsid w:val="00E72039"/>
    <w:rsid w:val="00E776AD"/>
    <w:rsid w:val="00E819BF"/>
    <w:rsid w:val="00E87A02"/>
    <w:rsid w:val="00E91C55"/>
    <w:rsid w:val="00E92641"/>
    <w:rsid w:val="00E928DA"/>
    <w:rsid w:val="00E930C1"/>
    <w:rsid w:val="00E94297"/>
    <w:rsid w:val="00E95BE0"/>
    <w:rsid w:val="00E96FAC"/>
    <w:rsid w:val="00E9714F"/>
    <w:rsid w:val="00E97D27"/>
    <w:rsid w:val="00EA03D2"/>
    <w:rsid w:val="00EA3321"/>
    <w:rsid w:val="00EA40AE"/>
    <w:rsid w:val="00EA6852"/>
    <w:rsid w:val="00EA7535"/>
    <w:rsid w:val="00EA7AC1"/>
    <w:rsid w:val="00EB1EFE"/>
    <w:rsid w:val="00EB2BF0"/>
    <w:rsid w:val="00EB5B16"/>
    <w:rsid w:val="00EB7981"/>
    <w:rsid w:val="00EC201C"/>
    <w:rsid w:val="00EC6B1D"/>
    <w:rsid w:val="00ED6229"/>
    <w:rsid w:val="00ED7E38"/>
    <w:rsid w:val="00EE0043"/>
    <w:rsid w:val="00EE08D8"/>
    <w:rsid w:val="00EE172B"/>
    <w:rsid w:val="00EE192B"/>
    <w:rsid w:val="00EF2E46"/>
    <w:rsid w:val="00EF6C21"/>
    <w:rsid w:val="00EF755F"/>
    <w:rsid w:val="00F01F27"/>
    <w:rsid w:val="00F0436C"/>
    <w:rsid w:val="00F11989"/>
    <w:rsid w:val="00F11CD5"/>
    <w:rsid w:val="00F12D76"/>
    <w:rsid w:val="00F16005"/>
    <w:rsid w:val="00F224B7"/>
    <w:rsid w:val="00F3022D"/>
    <w:rsid w:val="00F303EC"/>
    <w:rsid w:val="00F306C5"/>
    <w:rsid w:val="00F30AED"/>
    <w:rsid w:val="00F32C09"/>
    <w:rsid w:val="00F3401F"/>
    <w:rsid w:val="00F376F2"/>
    <w:rsid w:val="00F3787D"/>
    <w:rsid w:val="00F4065F"/>
    <w:rsid w:val="00F41597"/>
    <w:rsid w:val="00F41714"/>
    <w:rsid w:val="00F43D58"/>
    <w:rsid w:val="00F458D0"/>
    <w:rsid w:val="00F45CD1"/>
    <w:rsid w:val="00F56F3F"/>
    <w:rsid w:val="00F614AF"/>
    <w:rsid w:val="00F6189F"/>
    <w:rsid w:val="00F64446"/>
    <w:rsid w:val="00F64490"/>
    <w:rsid w:val="00F722F9"/>
    <w:rsid w:val="00F73948"/>
    <w:rsid w:val="00F76897"/>
    <w:rsid w:val="00F76ACE"/>
    <w:rsid w:val="00F775C4"/>
    <w:rsid w:val="00F8269E"/>
    <w:rsid w:val="00F82FCC"/>
    <w:rsid w:val="00F86525"/>
    <w:rsid w:val="00F86635"/>
    <w:rsid w:val="00F87050"/>
    <w:rsid w:val="00F8706E"/>
    <w:rsid w:val="00F9169A"/>
    <w:rsid w:val="00F917E0"/>
    <w:rsid w:val="00F93D71"/>
    <w:rsid w:val="00F94B86"/>
    <w:rsid w:val="00F965D2"/>
    <w:rsid w:val="00F970F7"/>
    <w:rsid w:val="00F979D2"/>
    <w:rsid w:val="00FA0730"/>
    <w:rsid w:val="00FA0A17"/>
    <w:rsid w:val="00FA1300"/>
    <w:rsid w:val="00FA3FEC"/>
    <w:rsid w:val="00FB0A0F"/>
    <w:rsid w:val="00FB0E8D"/>
    <w:rsid w:val="00FB3DE0"/>
    <w:rsid w:val="00FB5440"/>
    <w:rsid w:val="00FC04BF"/>
    <w:rsid w:val="00FC0F73"/>
    <w:rsid w:val="00FC1BFA"/>
    <w:rsid w:val="00FC1D92"/>
    <w:rsid w:val="00FC3AFF"/>
    <w:rsid w:val="00FC3D12"/>
    <w:rsid w:val="00FC5701"/>
    <w:rsid w:val="00FC7526"/>
    <w:rsid w:val="00FD3BC8"/>
    <w:rsid w:val="00FD638C"/>
    <w:rsid w:val="00FD6EE8"/>
    <w:rsid w:val="00FE2326"/>
    <w:rsid w:val="00FE247D"/>
    <w:rsid w:val="00FE40BD"/>
    <w:rsid w:val="00FF1986"/>
    <w:rsid w:val="00FF2DED"/>
    <w:rsid w:val="00FF4666"/>
    <w:rsid w:val="00FF47AD"/>
    <w:rsid w:val="00FF485E"/>
    <w:rsid w:val="00FF65C2"/>
    <w:rsid w:val="00FF6936"/>
    <w:rsid w:val="014E68C7"/>
    <w:rsid w:val="018F015A"/>
    <w:rsid w:val="01923E78"/>
    <w:rsid w:val="02937295"/>
    <w:rsid w:val="03DA0D25"/>
    <w:rsid w:val="04055C04"/>
    <w:rsid w:val="047B57D1"/>
    <w:rsid w:val="04805A69"/>
    <w:rsid w:val="048B436D"/>
    <w:rsid w:val="05157977"/>
    <w:rsid w:val="06034C92"/>
    <w:rsid w:val="06D93B45"/>
    <w:rsid w:val="06E36C9D"/>
    <w:rsid w:val="07732968"/>
    <w:rsid w:val="083A6280"/>
    <w:rsid w:val="086520AA"/>
    <w:rsid w:val="087227C3"/>
    <w:rsid w:val="09395944"/>
    <w:rsid w:val="09A239F0"/>
    <w:rsid w:val="09D25734"/>
    <w:rsid w:val="09DC490C"/>
    <w:rsid w:val="09DE6E19"/>
    <w:rsid w:val="0A09044C"/>
    <w:rsid w:val="0A19448C"/>
    <w:rsid w:val="0A1B4DB4"/>
    <w:rsid w:val="0A3715AE"/>
    <w:rsid w:val="0A6F0102"/>
    <w:rsid w:val="0AC669B1"/>
    <w:rsid w:val="0B1405BF"/>
    <w:rsid w:val="0B9D33AD"/>
    <w:rsid w:val="0C362936"/>
    <w:rsid w:val="0C746D32"/>
    <w:rsid w:val="0E5F04BD"/>
    <w:rsid w:val="0EAC5F44"/>
    <w:rsid w:val="0EBA35F0"/>
    <w:rsid w:val="0F002784"/>
    <w:rsid w:val="0F690C4C"/>
    <w:rsid w:val="0FAC5EC7"/>
    <w:rsid w:val="0FFD2019"/>
    <w:rsid w:val="10BD7494"/>
    <w:rsid w:val="11942FB9"/>
    <w:rsid w:val="11964521"/>
    <w:rsid w:val="125571FB"/>
    <w:rsid w:val="12D36CBE"/>
    <w:rsid w:val="12EA0B0C"/>
    <w:rsid w:val="13125D91"/>
    <w:rsid w:val="134F6C75"/>
    <w:rsid w:val="135862CA"/>
    <w:rsid w:val="14AE262C"/>
    <w:rsid w:val="14F21366"/>
    <w:rsid w:val="167A2AA7"/>
    <w:rsid w:val="16D57BDA"/>
    <w:rsid w:val="17AB146D"/>
    <w:rsid w:val="180D19FC"/>
    <w:rsid w:val="18642824"/>
    <w:rsid w:val="18AC68A1"/>
    <w:rsid w:val="18E83F4A"/>
    <w:rsid w:val="19264214"/>
    <w:rsid w:val="198B02A3"/>
    <w:rsid w:val="19AC41A3"/>
    <w:rsid w:val="1A232BE9"/>
    <w:rsid w:val="1A5A13F4"/>
    <w:rsid w:val="1AFE1BB6"/>
    <w:rsid w:val="1B2274EB"/>
    <w:rsid w:val="1BE7017B"/>
    <w:rsid w:val="1BF72EA9"/>
    <w:rsid w:val="1CC1214C"/>
    <w:rsid w:val="1D186A1A"/>
    <w:rsid w:val="1DC515B4"/>
    <w:rsid w:val="1E194C0C"/>
    <w:rsid w:val="1E6C36F7"/>
    <w:rsid w:val="1EA57449"/>
    <w:rsid w:val="1EEC2AC2"/>
    <w:rsid w:val="1F2E50CF"/>
    <w:rsid w:val="1FA94DFA"/>
    <w:rsid w:val="1FDA0C7B"/>
    <w:rsid w:val="1FEF0C78"/>
    <w:rsid w:val="208F14CA"/>
    <w:rsid w:val="20AB7DAA"/>
    <w:rsid w:val="210B3144"/>
    <w:rsid w:val="229F005C"/>
    <w:rsid w:val="2338142C"/>
    <w:rsid w:val="2423796F"/>
    <w:rsid w:val="24CC00F6"/>
    <w:rsid w:val="25FB2E4D"/>
    <w:rsid w:val="265718FC"/>
    <w:rsid w:val="26C15C20"/>
    <w:rsid w:val="281725A9"/>
    <w:rsid w:val="290D1173"/>
    <w:rsid w:val="2A2149AF"/>
    <w:rsid w:val="2A6D4153"/>
    <w:rsid w:val="2B705B23"/>
    <w:rsid w:val="2BA43C67"/>
    <w:rsid w:val="2BDD56B1"/>
    <w:rsid w:val="2BFA6683"/>
    <w:rsid w:val="2C0C29B0"/>
    <w:rsid w:val="2C7D7B4E"/>
    <w:rsid w:val="2C9373E6"/>
    <w:rsid w:val="2CD54A34"/>
    <w:rsid w:val="2D996AB4"/>
    <w:rsid w:val="2DA81BAD"/>
    <w:rsid w:val="2DAD0525"/>
    <w:rsid w:val="2EBB6711"/>
    <w:rsid w:val="2ED15ECF"/>
    <w:rsid w:val="2F4F28F2"/>
    <w:rsid w:val="2FFC2822"/>
    <w:rsid w:val="30203369"/>
    <w:rsid w:val="302808CF"/>
    <w:rsid w:val="306E0E2F"/>
    <w:rsid w:val="30ED004E"/>
    <w:rsid w:val="30FA2AEA"/>
    <w:rsid w:val="31780CE4"/>
    <w:rsid w:val="31E722F6"/>
    <w:rsid w:val="3221376C"/>
    <w:rsid w:val="324F5CD7"/>
    <w:rsid w:val="325F0723"/>
    <w:rsid w:val="329E39DD"/>
    <w:rsid w:val="32E73420"/>
    <w:rsid w:val="33543170"/>
    <w:rsid w:val="34104DF5"/>
    <w:rsid w:val="341C1549"/>
    <w:rsid w:val="343501E6"/>
    <w:rsid w:val="34747618"/>
    <w:rsid w:val="351E39E6"/>
    <w:rsid w:val="35632F29"/>
    <w:rsid w:val="3573144C"/>
    <w:rsid w:val="35F62F6A"/>
    <w:rsid w:val="362E1D56"/>
    <w:rsid w:val="36A5362D"/>
    <w:rsid w:val="36A918CF"/>
    <w:rsid w:val="3735199F"/>
    <w:rsid w:val="375C75A7"/>
    <w:rsid w:val="385642D3"/>
    <w:rsid w:val="38702BE8"/>
    <w:rsid w:val="39AD4706"/>
    <w:rsid w:val="39B8501F"/>
    <w:rsid w:val="3A5D28EE"/>
    <w:rsid w:val="3A7231F5"/>
    <w:rsid w:val="3A777DED"/>
    <w:rsid w:val="3A8012C4"/>
    <w:rsid w:val="3B842957"/>
    <w:rsid w:val="3BCC3984"/>
    <w:rsid w:val="3C886326"/>
    <w:rsid w:val="3CA248D4"/>
    <w:rsid w:val="3CBC5603"/>
    <w:rsid w:val="3CFE6BB6"/>
    <w:rsid w:val="3D12427B"/>
    <w:rsid w:val="3D1A6577"/>
    <w:rsid w:val="3D4D71A0"/>
    <w:rsid w:val="3D7D5D06"/>
    <w:rsid w:val="3DDD6A90"/>
    <w:rsid w:val="3DEE4499"/>
    <w:rsid w:val="3DFD360F"/>
    <w:rsid w:val="3EE854DC"/>
    <w:rsid w:val="3EE95239"/>
    <w:rsid w:val="40236802"/>
    <w:rsid w:val="405F7EE0"/>
    <w:rsid w:val="40893769"/>
    <w:rsid w:val="41454160"/>
    <w:rsid w:val="418F6864"/>
    <w:rsid w:val="41956176"/>
    <w:rsid w:val="41993ECF"/>
    <w:rsid w:val="41A07F66"/>
    <w:rsid w:val="422A5AD4"/>
    <w:rsid w:val="42542934"/>
    <w:rsid w:val="431838C4"/>
    <w:rsid w:val="439378FA"/>
    <w:rsid w:val="44137795"/>
    <w:rsid w:val="4459413A"/>
    <w:rsid w:val="45A64C24"/>
    <w:rsid w:val="45DE3AEF"/>
    <w:rsid w:val="478769C0"/>
    <w:rsid w:val="47917D12"/>
    <w:rsid w:val="47F80AD6"/>
    <w:rsid w:val="48665751"/>
    <w:rsid w:val="490C69C9"/>
    <w:rsid w:val="497E2F7B"/>
    <w:rsid w:val="49D73A0F"/>
    <w:rsid w:val="4A7510B1"/>
    <w:rsid w:val="4A857421"/>
    <w:rsid w:val="4B1F5342"/>
    <w:rsid w:val="4B2C0F75"/>
    <w:rsid w:val="4B856007"/>
    <w:rsid w:val="4C095D3B"/>
    <w:rsid w:val="4CA639E7"/>
    <w:rsid w:val="4DAA004D"/>
    <w:rsid w:val="4E6857E7"/>
    <w:rsid w:val="4EE03A09"/>
    <w:rsid w:val="4FAD406E"/>
    <w:rsid w:val="50384DA5"/>
    <w:rsid w:val="50FA6F78"/>
    <w:rsid w:val="51B15FD8"/>
    <w:rsid w:val="52A57557"/>
    <w:rsid w:val="53EE1C53"/>
    <w:rsid w:val="54314917"/>
    <w:rsid w:val="54411AE4"/>
    <w:rsid w:val="544E4DBC"/>
    <w:rsid w:val="54B17824"/>
    <w:rsid w:val="54D120DF"/>
    <w:rsid w:val="55507F9C"/>
    <w:rsid w:val="555E3079"/>
    <w:rsid w:val="56447050"/>
    <w:rsid w:val="56F17139"/>
    <w:rsid w:val="57056B3F"/>
    <w:rsid w:val="575403BE"/>
    <w:rsid w:val="579C231C"/>
    <w:rsid w:val="57C3316E"/>
    <w:rsid w:val="57EB0EF0"/>
    <w:rsid w:val="5827279C"/>
    <w:rsid w:val="5863557D"/>
    <w:rsid w:val="58D86327"/>
    <w:rsid w:val="59840341"/>
    <w:rsid w:val="5A7B27DB"/>
    <w:rsid w:val="5AA43F16"/>
    <w:rsid w:val="5B0E00E0"/>
    <w:rsid w:val="5B744353"/>
    <w:rsid w:val="5B9F7F74"/>
    <w:rsid w:val="5BEA61DD"/>
    <w:rsid w:val="5C6D549E"/>
    <w:rsid w:val="5C9368E2"/>
    <w:rsid w:val="5CDD13AD"/>
    <w:rsid w:val="5D1754B7"/>
    <w:rsid w:val="5D420568"/>
    <w:rsid w:val="5D703CA2"/>
    <w:rsid w:val="5EF67897"/>
    <w:rsid w:val="5FB43A87"/>
    <w:rsid w:val="5FDB4933"/>
    <w:rsid w:val="600B3532"/>
    <w:rsid w:val="604B18E3"/>
    <w:rsid w:val="608F47B0"/>
    <w:rsid w:val="60980D4E"/>
    <w:rsid w:val="60A465A4"/>
    <w:rsid w:val="60AB3821"/>
    <w:rsid w:val="60C80CAF"/>
    <w:rsid w:val="60E16405"/>
    <w:rsid w:val="6142696F"/>
    <w:rsid w:val="61A61690"/>
    <w:rsid w:val="623F5552"/>
    <w:rsid w:val="62472EF3"/>
    <w:rsid w:val="62FB17DE"/>
    <w:rsid w:val="631121EC"/>
    <w:rsid w:val="63A73B78"/>
    <w:rsid w:val="64191B72"/>
    <w:rsid w:val="646972D8"/>
    <w:rsid w:val="65200940"/>
    <w:rsid w:val="65A60E78"/>
    <w:rsid w:val="65C5762F"/>
    <w:rsid w:val="65E704B4"/>
    <w:rsid w:val="674144B5"/>
    <w:rsid w:val="678E6B32"/>
    <w:rsid w:val="681078B9"/>
    <w:rsid w:val="69DA4580"/>
    <w:rsid w:val="69FB0370"/>
    <w:rsid w:val="6A6876C1"/>
    <w:rsid w:val="6AF26701"/>
    <w:rsid w:val="6BEA3976"/>
    <w:rsid w:val="6CC3467B"/>
    <w:rsid w:val="6D2245B0"/>
    <w:rsid w:val="6D241617"/>
    <w:rsid w:val="6DB93A2D"/>
    <w:rsid w:val="6DDF18EA"/>
    <w:rsid w:val="6E51311A"/>
    <w:rsid w:val="6F1C6F2B"/>
    <w:rsid w:val="6F874361"/>
    <w:rsid w:val="6FA8430E"/>
    <w:rsid w:val="6FD8431F"/>
    <w:rsid w:val="70FF5BCD"/>
    <w:rsid w:val="719B2C33"/>
    <w:rsid w:val="72325895"/>
    <w:rsid w:val="7258531A"/>
    <w:rsid w:val="730B5833"/>
    <w:rsid w:val="73420104"/>
    <w:rsid w:val="736C11EF"/>
    <w:rsid w:val="736C5543"/>
    <w:rsid w:val="73FA0EB5"/>
    <w:rsid w:val="74317119"/>
    <w:rsid w:val="74583472"/>
    <w:rsid w:val="74771CF9"/>
    <w:rsid w:val="74D200C9"/>
    <w:rsid w:val="74FD1F44"/>
    <w:rsid w:val="762273A7"/>
    <w:rsid w:val="78216DB0"/>
    <w:rsid w:val="789D7633"/>
    <w:rsid w:val="78AD439C"/>
    <w:rsid w:val="78ED1B31"/>
    <w:rsid w:val="79460928"/>
    <w:rsid w:val="7964643C"/>
    <w:rsid w:val="79B83AFC"/>
    <w:rsid w:val="7A1B0C8C"/>
    <w:rsid w:val="7A5C6523"/>
    <w:rsid w:val="7A896E9B"/>
    <w:rsid w:val="7AB817D3"/>
    <w:rsid w:val="7AD33BC6"/>
    <w:rsid w:val="7AD947D0"/>
    <w:rsid w:val="7AEA702A"/>
    <w:rsid w:val="7AF94474"/>
    <w:rsid w:val="7C6504B7"/>
    <w:rsid w:val="7C652D7C"/>
    <w:rsid w:val="7D786F70"/>
    <w:rsid w:val="7E0F7B36"/>
    <w:rsid w:val="7EA17B78"/>
    <w:rsid w:val="7ECC53FE"/>
    <w:rsid w:val="7FDC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afterLines="0"/>
      <w:ind w:left="200" w:leftChars="200" w:firstLine="420" w:firstLineChars="200"/>
    </w:pPr>
    <w:rPr>
      <w:rFonts w:ascii="Times New Roman"/>
    </w:rPr>
  </w:style>
  <w:style w:type="paragraph" w:styleId="3">
    <w:name w:val="Body Text Indent"/>
    <w:basedOn w:val="1"/>
    <w:qFormat/>
    <w:uiPriority w:val="0"/>
    <w:pPr>
      <w:spacing w:line="600" w:lineRule="exact"/>
      <w:ind w:firstLine="640" w:firstLineChars="200"/>
    </w:pPr>
    <w:rPr>
      <w:rFonts w:eastAsia="仿宋_GB2312"/>
      <w:sz w:val="32"/>
      <w:szCs w:val="28"/>
    </w:rPr>
  </w:style>
  <w:style w:type="paragraph" w:styleId="6">
    <w:name w:val="annotation text"/>
    <w:basedOn w:val="1"/>
    <w:qFormat/>
    <w:uiPriority w:val="0"/>
    <w:pPr>
      <w:jc w:val="left"/>
    </w:pPr>
  </w:style>
  <w:style w:type="paragraph" w:styleId="7">
    <w:name w:val="endnote text"/>
    <w:basedOn w:val="1"/>
    <w:semiHidden/>
    <w:qFormat/>
    <w:uiPriority w:val="0"/>
    <w:pPr>
      <w:snapToGrid w:val="0"/>
      <w:jc w:val="left"/>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22"/>
    <w:rPr>
      <w:b/>
      <w:bCs/>
    </w:rPr>
  </w:style>
  <w:style w:type="character" w:styleId="15">
    <w:name w:val="endnote reference"/>
    <w:basedOn w:val="13"/>
    <w:semiHidden/>
    <w:qFormat/>
    <w:uiPriority w:val="0"/>
    <w:rPr>
      <w:vertAlign w:val="superscript"/>
    </w:rPr>
  </w:style>
  <w:style w:type="character" w:styleId="16">
    <w:name w:val="page number"/>
    <w:basedOn w:val="13"/>
    <w:qFormat/>
    <w:uiPriority w:val="0"/>
  </w:style>
  <w:style w:type="character" w:styleId="17">
    <w:name w:val="Hyperlink"/>
    <w:basedOn w:val="13"/>
    <w:unhideWhenUsed/>
    <w:qFormat/>
    <w:uiPriority w:val="99"/>
    <w:rPr>
      <w:color w:val="0000FF" w:themeColor="hyperlink"/>
      <w:u w:val="single"/>
    </w:rPr>
  </w:style>
  <w:style w:type="paragraph" w:customStyle="1" w:styleId="18">
    <w:name w:val="p0"/>
    <w:basedOn w:val="1"/>
    <w:qFormat/>
    <w:uiPriority w:val="0"/>
    <w:pPr>
      <w:widowControl/>
    </w:pPr>
    <w:rPr>
      <w:kern w:val="0"/>
      <w:szCs w:val="21"/>
    </w:rPr>
  </w:style>
  <w:style w:type="character" w:customStyle="1" w:styleId="19">
    <w:name w:val="批注框文本 Char"/>
    <w:basedOn w:val="13"/>
    <w:link w:val="8"/>
    <w:qFormat/>
    <w:uiPriority w:val="0"/>
    <w:rPr>
      <w:kern w:val="2"/>
      <w:sz w:val="18"/>
      <w:szCs w:val="18"/>
    </w:rPr>
  </w:style>
  <w:style w:type="character" w:customStyle="1" w:styleId="20">
    <w:name w:val="标题 1 Char"/>
    <w:basedOn w:val="13"/>
    <w:link w:val="4"/>
    <w:qFormat/>
    <w:uiPriority w:val="9"/>
    <w:rPr>
      <w:rFonts w:ascii="宋体" w:hAnsi="宋体" w:cs="宋体"/>
      <w:b/>
      <w:bCs/>
      <w:kern w:val="36"/>
      <w:sz w:val="48"/>
      <w:szCs w:val="48"/>
    </w:rPr>
  </w:style>
  <w:style w:type="character" w:customStyle="1" w:styleId="21">
    <w:name w:val="标题 2 Char"/>
    <w:basedOn w:val="13"/>
    <w:link w:val="5"/>
    <w:semiHidden/>
    <w:qFormat/>
    <w:uiPriority w:val="0"/>
    <w:rPr>
      <w:rFonts w:asciiTheme="majorHAnsi" w:hAnsiTheme="majorHAnsi" w:eastAsiaTheme="majorEastAsia" w:cstheme="majorBidi"/>
      <w:b/>
      <w:bCs/>
      <w:kern w:val="2"/>
      <w:sz w:val="32"/>
      <w:szCs w:val="32"/>
    </w:rPr>
  </w:style>
  <w:style w:type="paragraph" w:customStyle="1" w:styleId="22">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cs="Arial Unicode MS" w:eastAsiaTheme="minorEastAsia"/>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5"/>
    <customShpInfo spid="_x0000_s103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9EC5A-62E8-488E-BE96-28D1E63A25FF}">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11</Pages>
  <Words>6871</Words>
  <Characters>7042</Characters>
  <Lines>49</Lines>
  <Paragraphs>13</Paragraphs>
  <TotalTime>32</TotalTime>
  <ScaleCrop>false</ScaleCrop>
  <LinksUpToDate>false</LinksUpToDate>
  <CharactersWithSpaces>7063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2019-03-21T01:50:00Z</dcterms:created>
  <dc:creator>微软用户</dc:creator>
  <cp:lastModifiedBy>清汤不加汤</cp:lastModifiedBy>
  <cp:lastPrinted>2020-05-08T09:51:00Z</cp:lastPrinted>
  <dcterms:modified xsi:type="dcterms:W3CDTF">2025-04-09T08:48:00Z</dcterms:modified>
  <dc:title>县十七届人大一次</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eyJoZGlkIjoiNWQwNDc5NDkyNDQ3M2Q3YzYxNTczZDM0NmNlZWJlY2QiLCJ1c2VySWQiOiI2MjY0NTM4NzMifQ==</vt:lpwstr>
  </property>
  <property fmtid="{D5CDD505-2E9C-101B-9397-08002B2CF9AE}" pid="4" name="ICV">
    <vt:lpwstr>46BD0863797E46228021F60B075981ED_12</vt:lpwstr>
  </property>
</Properties>
</file>