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0C03B">
      <w:pPr>
        <w:pStyle w:val="3"/>
        <w:spacing w:line="400" w:lineRule="exact"/>
        <w:ind w:firstLine="0" w:firstLineChars="0"/>
        <w:rPr>
          <w:rFonts w:ascii="楷体_GB2312" w:hAnsi="宋体" w:eastAsia="楷体_GB2312"/>
          <w:b/>
          <w:szCs w:val="32"/>
        </w:rPr>
      </w:pPr>
      <w:bookmarkStart w:id="0" w:name="_GoBack"/>
      <w:r>
        <w:rPr>
          <w:rFonts w:hint="eastAsia" w:ascii="楷体_GB2312" w:hAnsi="宋体" w:eastAsia="楷体_GB2312"/>
          <w:b/>
          <w:szCs w:val="32"/>
        </w:rPr>
        <w:t>县十七届人大六次</w:t>
      </w:r>
    </w:p>
    <w:p w14:paraId="54A17468">
      <w:pPr>
        <w:pStyle w:val="3"/>
        <w:spacing w:line="400" w:lineRule="exact"/>
        <w:ind w:firstLine="0" w:firstLineChars="0"/>
        <w:rPr>
          <w:rFonts w:ascii="楷体_GB2312" w:eastAsia="楷体_GB2312"/>
          <w:b/>
          <w:spacing w:val="-10"/>
          <w:szCs w:val="32"/>
        </w:rPr>
      </w:pPr>
      <w:r>
        <w:rPr>
          <w:rFonts w:hint="eastAsia" w:ascii="楷体_GB2312" w:hAnsi="宋体" w:eastAsia="楷体_GB2312"/>
          <w:b/>
          <w:spacing w:val="-10"/>
          <w:szCs w:val="32"/>
        </w:rPr>
        <w:t>会议文件(二十四)</w:t>
      </w:r>
    </w:p>
    <w:p w14:paraId="45DD93CC">
      <w:pPr>
        <w:spacing w:line="600" w:lineRule="exact"/>
        <w:rPr>
          <w:rFonts w:ascii="方正小标宋简体" w:hAnsi="宋体" w:eastAsia="方正小标宋简体" w:cs="宋体"/>
          <w:bCs/>
          <w:kern w:val="0"/>
          <w:sz w:val="30"/>
          <w:szCs w:val="30"/>
        </w:rPr>
      </w:pPr>
    </w:p>
    <w:p w14:paraId="4D19FC93">
      <w:pPr>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新干县人民检察院工作报告</w:t>
      </w:r>
    </w:p>
    <w:p w14:paraId="797A98F3">
      <w:pPr>
        <w:spacing w:line="560" w:lineRule="exact"/>
        <w:jc w:val="center"/>
        <w:rPr>
          <w:rFonts w:ascii="仿宋_GB2312" w:eastAsia="仿宋_GB2312"/>
          <w:b/>
          <w:spacing w:val="-8"/>
          <w:sz w:val="36"/>
          <w:szCs w:val="36"/>
        </w:rPr>
      </w:pPr>
    </w:p>
    <w:p w14:paraId="26755BE4">
      <w:pPr>
        <w:spacing w:line="600" w:lineRule="exact"/>
        <w:jc w:val="center"/>
        <w:rPr>
          <w:rFonts w:ascii="楷体_GB2312" w:eastAsia="楷体_GB2312"/>
          <w:spacing w:val="-8"/>
          <w:sz w:val="32"/>
          <w:szCs w:val="32"/>
        </w:rPr>
      </w:pPr>
      <w:r>
        <w:rPr>
          <w:rFonts w:hint="eastAsia" w:ascii="楷体_GB2312" w:eastAsia="楷体_GB2312"/>
          <w:spacing w:val="-8"/>
          <w:sz w:val="32"/>
          <w:szCs w:val="32"/>
        </w:rPr>
        <w:t>——</w:t>
      </w:r>
      <w:r>
        <w:rPr>
          <w:rFonts w:hint="eastAsia" w:ascii="楷体_GB2312" w:eastAsia="楷体_GB2312"/>
          <w:sz w:val="32"/>
          <w:szCs w:val="32"/>
        </w:rPr>
        <w:t>2021年3月30日</w:t>
      </w:r>
      <w:r>
        <w:rPr>
          <w:rFonts w:hint="eastAsia" w:ascii="楷体_GB2312" w:eastAsia="楷体_GB2312"/>
          <w:spacing w:val="-8"/>
          <w:sz w:val="32"/>
          <w:szCs w:val="32"/>
        </w:rPr>
        <w:t>在新干县第十七届</w:t>
      </w:r>
    </w:p>
    <w:p w14:paraId="47924365">
      <w:pPr>
        <w:spacing w:line="600" w:lineRule="exact"/>
        <w:jc w:val="center"/>
        <w:rPr>
          <w:rFonts w:ascii="楷体_GB2312" w:hAnsi="宋体" w:eastAsia="楷体_GB2312" w:cs="宋体"/>
          <w:bCs/>
          <w:kern w:val="0"/>
          <w:sz w:val="32"/>
          <w:szCs w:val="32"/>
        </w:rPr>
      </w:pPr>
      <w:r>
        <w:rPr>
          <w:rFonts w:hint="eastAsia" w:ascii="楷体_GB2312" w:eastAsia="楷体_GB2312"/>
          <w:spacing w:val="-8"/>
          <w:sz w:val="32"/>
          <w:szCs w:val="32"/>
        </w:rPr>
        <w:t>人民代表大</w:t>
      </w:r>
      <w:r>
        <w:rPr>
          <w:rFonts w:hint="eastAsia" w:ascii="楷体_GB2312" w:eastAsia="楷体_GB2312"/>
          <w:sz w:val="32"/>
          <w:szCs w:val="32"/>
        </w:rPr>
        <w:t>会第六次会议上</w:t>
      </w:r>
    </w:p>
    <w:p w14:paraId="6B8C2346">
      <w:pPr>
        <w:pStyle w:val="3"/>
        <w:ind w:firstLine="0" w:firstLineChars="0"/>
        <w:jc w:val="center"/>
        <w:rPr>
          <w:rFonts w:ascii="楷体_GB2312" w:hAnsi="宋体" w:eastAsia="楷体_GB2312" w:cs="宋体"/>
          <w:kern w:val="0"/>
          <w:szCs w:val="32"/>
        </w:rPr>
      </w:pPr>
    </w:p>
    <w:p w14:paraId="69B6D5F6">
      <w:pPr>
        <w:pStyle w:val="3"/>
        <w:spacing w:line="480" w:lineRule="exact"/>
        <w:ind w:firstLine="0" w:firstLineChars="0"/>
        <w:jc w:val="center"/>
        <w:rPr>
          <w:rFonts w:ascii="楷体_GB2312" w:hAnsi="宋体" w:eastAsia="楷体_GB2312" w:cs="宋体"/>
          <w:kern w:val="0"/>
          <w:szCs w:val="32"/>
        </w:rPr>
      </w:pPr>
      <w:r>
        <w:rPr>
          <w:rFonts w:hint="eastAsia" w:ascii="楷体_GB2312" w:hAnsi="宋体" w:eastAsia="楷体_GB2312" w:cs="宋体"/>
          <w:kern w:val="0"/>
          <w:szCs w:val="32"/>
        </w:rPr>
        <w:t>县人民检察院检察长   刘崇幼</w:t>
      </w:r>
    </w:p>
    <w:p w14:paraId="68A5C675">
      <w:pPr>
        <w:autoSpaceDE w:val="0"/>
        <w:autoSpaceDN w:val="0"/>
        <w:adjustRightInd w:val="0"/>
        <w:spacing w:line="480" w:lineRule="exact"/>
        <w:ind w:firstLine="640" w:firstLineChars="200"/>
        <w:rPr>
          <w:rFonts w:ascii="仿宋_GB2312" w:hAnsi="仿宋_GB2312" w:eastAsia="仿宋_GB2312" w:cs="仿宋_GB2312"/>
          <w:kern w:val="0"/>
          <w:sz w:val="32"/>
          <w:szCs w:val="32"/>
        </w:rPr>
      </w:pPr>
    </w:p>
    <w:p w14:paraId="4A581CA0">
      <w:pPr>
        <w:spacing w:line="480" w:lineRule="exact"/>
        <w:rPr>
          <w:rFonts w:ascii="仿宋_GB2312" w:eastAsia="仿宋_GB2312"/>
          <w:sz w:val="32"/>
          <w:szCs w:val="32"/>
        </w:rPr>
      </w:pPr>
      <w:r>
        <w:rPr>
          <w:rFonts w:hint="eastAsia" w:ascii="仿宋_GB2312" w:eastAsia="仿宋_GB2312"/>
          <w:sz w:val="32"/>
          <w:szCs w:val="32"/>
        </w:rPr>
        <w:t>各位代表：</w:t>
      </w:r>
    </w:p>
    <w:p w14:paraId="31AF1A96">
      <w:pPr>
        <w:autoSpaceDE w:val="0"/>
        <w:autoSpaceDN w:val="0"/>
        <w:adjustRightInd w:val="0"/>
        <w:spacing w:line="480" w:lineRule="exact"/>
        <w:ind w:firstLine="640" w:firstLineChars="200"/>
        <w:rPr>
          <w:rFonts w:ascii="仿宋_GB2312" w:hAnsi="Calibri" w:eastAsia="仿宋_GB2312"/>
          <w:color w:val="000000"/>
          <w:sz w:val="32"/>
          <w:szCs w:val="32"/>
        </w:rPr>
      </w:pPr>
      <w:r>
        <w:rPr>
          <w:rFonts w:hint="eastAsia" w:ascii="仿宋_GB2312" w:eastAsia="仿宋_GB2312"/>
          <w:sz w:val="32"/>
          <w:szCs w:val="32"/>
        </w:rPr>
        <w:t>现在,我代表县人民检察院向大会报告工作，请予审议，并请列席会议的同志提出意见。</w:t>
      </w:r>
    </w:p>
    <w:p w14:paraId="60B332D3">
      <w:pPr>
        <w:autoSpaceDE w:val="0"/>
        <w:autoSpaceDN w:val="0"/>
        <w:adjustRightInd w:val="0"/>
        <w:spacing w:line="480" w:lineRule="exact"/>
        <w:ind w:firstLine="640" w:firstLineChars="200"/>
        <w:rPr>
          <w:rFonts w:ascii="仿宋_GB2312" w:hAnsi="Calibri" w:eastAsia="仿宋_GB2312"/>
          <w:color w:val="000000"/>
          <w:sz w:val="32"/>
          <w:szCs w:val="32"/>
        </w:rPr>
      </w:pPr>
    </w:p>
    <w:p w14:paraId="109C7888">
      <w:pPr>
        <w:spacing w:line="480" w:lineRule="exact"/>
        <w:jc w:val="center"/>
        <w:rPr>
          <w:rFonts w:ascii="黑体" w:hAnsi="仿宋" w:eastAsia="黑体"/>
          <w:color w:val="000000"/>
          <w:sz w:val="32"/>
          <w:szCs w:val="32"/>
        </w:rPr>
      </w:pPr>
      <w:r>
        <w:rPr>
          <w:rFonts w:hint="eastAsia" w:ascii="黑体" w:eastAsia="黑体"/>
          <w:color w:val="000000"/>
          <w:sz w:val="32"/>
          <w:szCs w:val="32"/>
        </w:rPr>
        <w:t>2020年工作回顾</w:t>
      </w:r>
    </w:p>
    <w:p w14:paraId="325BE212">
      <w:pPr>
        <w:autoSpaceDE w:val="0"/>
        <w:autoSpaceDN w:val="0"/>
        <w:adjustRightInd w:val="0"/>
        <w:spacing w:line="480" w:lineRule="exact"/>
        <w:ind w:firstLine="640" w:firstLineChars="200"/>
        <w:rPr>
          <w:rFonts w:ascii="仿宋_GB2312" w:hAnsi="Calibri" w:eastAsia="仿宋_GB2312"/>
          <w:color w:val="000000"/>
          <w:sz w:val="32"/>
          <w:szCs w:val="32"/>
        </w:rPr>
      </w:pPr>
    </w:p>
    <w:p w14:paraId="548AEFCD">
      <w:pPr>
        <w:spacing w:line="480" w:lineRule="exact"/>
        <w:ind w:firstLine="640" w:firstLineChars="200"/>
        <w:rPr>
          <w:rFonts w:ascii="仿宋_GB2312" w:eastAsia="仿宋_GB2312"/>
          <w:sz w:val="32"/>
          <w:szCs w:val="32"/>
        </w:rPr>
      </w:pPr>
      <w:r>
        <w:rPr>
          <w:rFonts w:hint="eastAsia" w:ascii="仿宋_GB2312" w:eastAsia="仿宋_GB2312"/>
          <w:sz w:val="32"/>
          <w:szCs w:val="32"/>
        </w:rPr>
        <w:t>2020年，在县委和上级院的正确领导、县人大及其常委会的有力监督和县政府、县政协及社会各界的关心支持下，我院以习近平新时代中国特色社会主义思想为指导，深入贯彻落实党的十九大、十九届二中、三中、四中、五中全会和全国、全省、全市检察长会议精神，坚持党对检察工作的绝对领导，紧盯“工作一流，队伍过硬”目标，全面履行检察职责，各项工作取得了新的进展，为我县奋力夺取疫情防控和经济社会发展“双胜利”作出了积极贡献。</w:t>
      </w:r>
    </w:p>
    <w:p w14:paraId="045DC2F2">
      <w:pPr>
        <w:spacing w:line="480" w:lineRule="exact"/>
        <w:ind w:firstLine="640" w:firstLineChars="200"/>
        <w:rPr>
          <w:rFonts w:ascii="黑体" w:eastAsia="黑体"/>
          <w:color w:val="000000"/>
          <w:sz w:val="32"/>
          <w:szCs w:val="32"/>
        </w:rPr>
      </w:pPr>
      <w:r>
        <w:rPr>
          <w:rFonts w:hint="eastAsia" w:ascii="黑体" w:eastAsia="黑体"/>
          <w:color w:val="000000"/>
          <w:sz w:val="32"/>
          <w:szCs w:val="32"/>
        </w:rPr>
        <w:t>一、围绕大局抓服务保障，护航经济社会高质量发展</w:t>
      </w:r>
    </w:p>
    <w:p w14:paraId="61ECEE72">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全力打好疫情防控阻击战。</w:t>
      </w:r>
      <w:r>
        <w:rPr>
          <w:rFonts w:hint="eastAsia" w:ascii="仿宋_GB2312" w:eastAsia="仿宋_GB2312"/>
          <w:sz w:val="32"/>
          <w:szCs w:val="32"/>
        </w:rPr>
        <w:t>坚持“战疫”、办案两手抓、两不误。严格疫情联防联控措施，组织全体检察人员积极投入一线，“检察蓝”化身“志愿红”，圆满完成了各项疫情防控任务。启动涉疫案件特别办理机制，对办理的涉疫犯罪案件均开展了提前介入工作，并实行快捕快诉，共批准逮捕涉疫案件2件2人，起诉4件8人。办理了全省首例妨害传染病防治犯罪案件，及时向社会发布案件信息，在抗疫关键时期有效发挥了司法震慑作用。通过12309检察服务平台</w:t>
      </w:r>
      <w:r>
        <w:rPr>
          <w:rFonts w:ascii="Calibri" w:hAnsi="Calibri" w:eastAsia="仿宋_GB2312" w:cs="Calibri"/>
          <w:sz w:val="32"/>
          <w:szCs w:val="32"/>
          <w:vertAlign w:val="superscript"/>
        </w:rPr>
        <w:t>①</w:t>
      </w:r>
      <w:r>
        <w:rPr>
          <w:rFonts w:hint="eastAsia" w:ascii="仿宋_GB2312" w:eastAsia="仿宋_GB2312"/>
          <w:sz w:val="32"/>
          <w:szCs w:val="32"/>
        </w:rPr>
        <w:t>和机要通道为律师提供异地阅卷服务，运用网上受案、视频接访、远程提讯等办案方式，确保疫情期间检察工作不“掉线”。</w:t>
      </w:r>
    </w:p>
    <w:p w14:paraId="4DD300B5">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决战决胜扫黑除恶专项斗争。</w:t>
      </w:r>
      <w:r>
        <w:rPr>
          <w:rFonts w:hint="eastAsia" w:ascii="仿宋_GB2312" w:eastAsia="仿宋_GB2312"/>
          <w:sz w:val="32"/>
          <w:szCs w:val="32"/>
        </w:rPr>
        <w:t>紧紧围绕三年为期目标，以高度的政治自觉推进“六清”行动</w:t>
      </w:r>
      <w:r>
        <w:rPr>
          <w:rFonts w:ascii="Calibri" w:hAnsi="Calibri" w:eastAsia="仿宋_GB2312" w:cs="Calibri"/>
          <w:sz w:val="32"/>
          <w:szCs w:val="32"/>
          <w:vertAlign w:val="superscript"/>
        </w:rPr>
        <w:t>②</w:t>
      </w:r>
      <w:r>
        <w:rPr>
          <w:rFonts w:hint="eastAsia" w:ascii="仿宋_GB2312" w:eastAsia="仿宋_GB2312"/>
          <w:sz w:val="32"/>
          <w:szCs w:val="32"/>
        </w:rPr>
        <w:t>。全面完成“案件清结”，共提前介入引导侦查、固定证据20次，起诉涉恶犯罪2件3人、涉黑犯罪4件9人、黑恶势力保护伞1件1人，移送吉安市人民检察院管辖涉黑案件1件1人，傅晓刚等一批黑恶势力被依法严惩。依法监督涉黑涉恶案件财产清查、处置和财产刑执行，确保“黑财清底”。紧盯涉黑涉恶重大案件、黑恶势力经济基础，深挖背后存在的管理问题及行业漏洞，积极向有关部门发出检察建议23份，着力“行业清源”。</w:t>
      </w:r>
    </w:p>
    <w:p w14:paraId="2433DDC7">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扎实服务三大攻坚战。</w:t>
      </w:r>
      <w:r>
        <w:rPr>
          <w:rFonts w:hint="eastAsia" w:ascii="仿宋_GB2312" w:eastAsia="仿宋_GB2312"/>
          <w:sz w:val="32"/>
          <w:szCs w:val="32"/>
        </w:rPr>
        <w:t>全面落实</w:t>
      </w:r>
      <w:r>
        <w:rPr>
          <w:rFonts w:hint="eastAsia" w:ascii="仿宋_GB2312" w:eastAsia="仿宋_GB2312"/>
          <w:sz w:val="32"/>
          <w:szCs w:val="32"/>
          <w:lang w:eastAsia="zh-CN"/>
        </w:rPr>
        <w:t>最高检</w:t>
      </w:r>
      <w:r>
        <w:rPr>
          <w:rFonts w:hint="eastAsia" w:ascii="仿宋_GB2312" w:eastAsia="仿宋_GB2312"/>
          <w:sz w:val="32"/>
          <w:szCs w:val="32"/>
        </w:rPr>
        <w:t>“三号检察建议”</w:t>
      </w:r>
      <w:r>
        <w:rPr>
          <w:rFonts w:ascii="Calibri" w:hAnsi="Calibri" w:eastAsia="仿宋_GB2312" w:cs="Calibri"/>
          <w:sz w:val="32"/>
          <w:szCs w:val="32"/>
          <w:vertAlign w:val="superscript"/>
        </w:rPr>
        <w:t>③</w:t>
      </w:r>
      <w:r>
        <w:rPr>
          <w:rFonts w:hint="eastAsia" w:ascii="仿宋_GB2312" w:eastAsia="仿宋_GB2312"/>
          <w:sz w:val="32"/>
          <w:szCs w:val="32"/>
        </w:rPr>
        <w:t>精神，加大打击危害金融安全犯罪力度，切实防范化解金融风险。严打扶贫领域犯罪行为，将国家司法救助融入全县脱贫攻坚战总体部署中，通过结对帮扶、资金支持、司法保障等方式助力精准脱贫。持续开展蓝天、碧水、净土保卫战，围绕污染防治、生态保护，加大对非法捕捞、乱砍滥伐、跨区域倾倒危险废物等行为的打击力度，共办理涉嫌破坏生态环境类刑事案件39件、生态环境保护领域公益诉讼诉前程序案件51件、刑事附带民事公益诉讼案件2件。</w:t>
      </w:r>
    </w:p>
    <w:p w14:paraId="7E595E30">
      <w:pPr>
        <w:spacing w:line="480" w:lineRule="exact"/>
        <w:ind w:firstLine="640" w:firstLineChars="200"/>
        <w:rPr>
          <w:rFonts w:ascii="黑体" w:eastAsia="黑体"/>
          <w:color w:val="000000"/>
          <w:sz w:val="32"/>
          <w:szCs w:val="32"/>
        </w:rPr>
      </w:pPr>
      <w:r>
        <w:rPr>
          <w:rFonts w:hint="eastAsia" w:ascii="黑体" w:eastAsia="黑体"/>
          <w:color w:val="000000"/>
          <w:sz w:val="32"/>
          <w:szCs w:val="32"/>
        </w:rPr>
        <w:t>二、注重实效抓履职履责，确保司法为民精准发力</w:t>
      </w:r>
    </w:p>
    <w:p w14:paraId="5668A260">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深入推进平安新干建设。</w:t>
      </w:r>
      <w:r>
        <w:rPr>
          <w:rFonts w:hint="eastAsia" w:ascii="仿宋_GB2312" w:eastAsia="仿宋_GB2312"/>
          <w:sz w:val="32"/>
          <w:szCs w:val="32"/>
        </w:rPr>
        <w:t>依法履行批捕起诉职能，突出惩治盗抢骗、黄赌毒、食药环等群众反映强烈的各类刑事犯罪。2020年，共受理公安机关提请批准逮捕案件218件395人，批准逮捕156件289人，不捕106人；共受理公安机关和监察机关移送审查起诉案件250件411人，经审查提起公诉221件352人，不起诉44人，移送吉安市人民检察院管辖6件23人，开展适时提前介入32件。完善与纪委监委反腐败工作衔接机制，共决定逮捕职务犯罪3件3人，提起公诉4件9人。坚决维护国家政治安全，办理了危害国家安全、利用邪教组织破坏法律实施犯罪1件21人。</w:t>
      </w:r>
    </w:p>
    <w:p w14:paraId="18DA6CB9">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关心关爱未成年人健康成长。</w:t>
      </w:r>
      <w:r>
        <w:rPr>
          <w:rFonts w:hint="eastAsia" w:ascii="仿宋_GB2312" w:eastAsia="仿宋_GB2312"/>
          <w:sz w:val="32"/>
          <w:szCs w:val="32"/>
        </w:rPr>
        <w:t>持续推动“一号检察建议”</w:t>
      </w:r>
      <w:r>
        <w:rPr>
          <w:rFonts w:ascii="Calibri" w:hAnsi="Calibri" w:eastAsia="仿宋_GB2312" w:cs="Calibri"/>
          <w:sz w:val="32"/>
          <w:szCs w:val="32"/>
          <w:vertAlign w:val="superscript"/>
        </w:rPr>
        <w:t>④</w:t>
      </w:r>
      <w:r>
        <w:rPr>
          <w:rFonts w:hint="eastAsia" w:ascii="仿宋_GB2312" w:eastAsia="仿宋_GB2312"/>
          <w:sz w:val="32"/>
          <w:szCs w:val="32"/>
        </w:rPr>
        <w:t>精神和未成年人保护法律、法规、政策落实。对未成年人犯罪始终坚持少捕慎诉，落实特殊保护，注重案后帮教，对2名未成年犯罪嫌疑人作出不起诉决定。开展“校园安全巡查”和“护苗2020”专项行动</w:t>
      </w:r>
      <w:r>
        <w:rPr>
          <w:rFonts w:ascii="Calibri" w:hAnsi="Calibri" w:eastAsia="仿宋_GB2312" w:cs="Calibri"/>
          <w:sz w:val="32"/>
          <w:szCs w:val="32"/>
          <w:vertAlign w:val="superscript"/>
        </w:rPr>
        <w:t>⑤</w:t>
      </w:r>
      <w:r>
        <w:rPr>
          <w:rFonts w:hint="eastAsia" w:ascii="仿宋_GB2312" w:eastAsia="仿宋_GB2312"/>
          <w:sz w:val="32"/>
          <w:szCs w:val="32"/>
        </w:rPr>
        <w:t>，联合相关职能部门抽查学校疫情防控举措，督促整改学校食堂及周边小餐馆，对校园周边文化市场开展专项整治，查缴有妨害未成年身心健康内容的非法出版物，保障校园安全。开展“法治进校园”活动，举办法治讲座3次,预防未成年人违法犯罪。</w:t>
      </w:r>
    </w:p>
    <w:p w14:paraId="3CF8985B">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努力化解矛盾纠纷。</w:t>
      </w:r>
      <w:r>
        <w:rPr>
          <w:rFonts w:hint="eastAsia" w:ascii="仿宋_GB2312" w:eastAsia="仿宋_GB2312"/>
          <w:sz w:val="32"/>
          <w:szCs w:val="32"/>
        </w:rPr>
        <w:t>切实把化解矛盾纠纷贯穿于执法办案的始终，推进社会矛盾化解。贯彻宽严相济刑事政策，在坚持依法严厉打击严重犯罪的同时，对初犯、偶犯、未成年人和老年人犯罪以及因邻里、亲友纠纷引发的轻伤害案件依法从宽处理，共对44人作出无逮捕必要不捕决定，对35人作出相对不起诉决定。充分发挥刑罚的教育功能，积极开展认罪认罚工作，引导犯罪嫌疑人认罪悔罪，减少社会对抗，修复社会关系，做到案结事了。2020年刑事案件适用认罪认罚从宽制度</w:t>
      </w:r>
      <w:r>
        <w:rPr>
          <w:rFonts w:ascii="Calibri" w:hAnsi="Calibri" w:eastAsia="仿宋_GB2312" w:cs="Calibri"/>
          <w:sz w:val="32"/>
          <w:szCs w:val="32"/>
          <w:vertAlign w:val="superscript"/>
        </w:rPr>
        <w:t>⑥</w:t>
      </w:r>
      <w:r>
        <w:rPr>
          <w:rFonts w:hint="eastAsia" w:ascii="仿宋_GB2312" w:eastAsia="仿宋_GB2312"/>
          <w:sz w:val="32"/>
          <w:szCs w:val="32"/>
        </w:rPr>
        <w:t>共332人，适用率为83.63%，同比（47.51%）上升36.12个百分点。</w:t>
      </w:r>
    </w:p>
    <w:p w14:paraId="15A739E7">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积极参与市域社会治理。</w:t>
      </w:r>
      <w:r>
        <w:rPr>
          <w:rFonts w:hint="eastAsia" w:ascii="仿宋_GB2312" w:eastAsia="仿宋_GB2312"/>
          <w:sz w:val="32"/>
          <w:szCs w:val="32"/>
        </w:rPr>
        <w:t>传承弘扬新时代“枫桥经验”，深入开展涉法涉诉矛盾排查，及时掌握信访隐患和动态。坚持检察长接访制度，对重大矛盾纠纷和信访突出问题，实行领导包案化解制。共受理来信18件，来访21人25次。所有信访件均做到7日内程序性答复，3个月内实体性回复。办理了4起国家司法救助案件，为家庭困难的案件当事人争取到11万元国家司法救助资金。积极开展“双提升”大走访活动，走访居民600余户，发放宣传册1000多份，倾听群众对检察工作的意见建议，为群众解决实际问题，着力提升群众满意度。</w:t>
      </w:r>
    </w:p>
    <w:p w14:paraId="375D0E68">
      <w:pPr>
        <w:spacing w:line="480" w:lineRule="exact"/>
        <w:ind w:firstLine="640" w:firstLineChars="200"/>
        <w:rPr>
          <w:rFonts w:ascii="黑体" w:eastAsia="黑体"/>
          <w:color w:val="000000"/>
          <w:sz w:val="32"/>
          <w:szCs w:val="32"/>
        </w:rPr>
      </w:pPr>
      <w:r>
        <w:rPr>
          <w:rFonts w:hint="eastAsia" w:ascii="黑体" w:eastAsia="黑体"/>
          <w:color w:val="000000"/>
          <w:sz w:val="32"/>
          <w:szCs w:val="32"/>
        </w:rPr>
        <w:t>三、突出主业抓法律监督，促进严格执法公正司法</w:t>
      </w:r>
    </w:p>
    <w:p w14:paraId="2D477F87">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持续强化刑事检察监督。</w:t>
      </w:r>
      <w:r>
        <w:rPr>
          <w:rFonts w:hint="eastAsia" w:ascii="仿宋_GB2312" w:eastAsia="仿宋_GB2312"/>
          <w:sz w:val="32"/>
          <w:szCs w:val="32"/>
        </w:rPr>
        <w:t>突出刑事检察专业化建设，加强对非法取证活动的调查核实和监督，确保证据的充分、合法。准确把握抗诉条件，加强对裁判文书的审查，提高抗诉质量和效率。共依法纠正漏捕2人，纠正漏诉2人，纠正违法2件，监督立案1件1人，抗诉2件2人。</w:t>
      </w:r>
    </w:p>
    <w:p w14:paraId="35FEC717">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稳步推进民事行政监督。</w:t>
      </w:r>
      <w:r>
        <w:rPr>
          <w:rFonts w:hint="eastAsia" w:ascii="仿宋_GB2312" w:eastAsia="仿宋_GB2312"/>
          <w:sz w:val="32"/>
          <w:szCs w:val="32"/>
        </w:rPr>
        <w:t>以学习贯彻民法典为契机，强化精准监督理念，深入推进对生效裁判、虚假诉讼、执行活动等领域的监督，增强监督的主动性和有效性。共办理民事行政监督案件16件，其中民事生效裁判监督5件，支持起诉11件，支持11位农民工追索劳动报酬16.33万元。</w:t>
      </w:r>
    </w:p>
    <w:p w14:paraId="639A9673">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做优做强刑事执行监督。</w:t>
      </w:r>
      <w:r>
        <w:rPr>
          <w:rFonts w:hint="eastAsia" w:ascii="仿宋_GB2312" w:eastAsia="仿宋_GB2312"/>
          <w:sz w:val="32"/>
          <w:szCs w:val="32"/>
        </w:rPr>
        <w:t>强化驻所检察，督促看守所加强对监管场所的安全检查，支持配合监督看守所开展疫情防控工作，消除监管场所的安全隐患。对监管机构的监外执行工作进行检查，向监管机构发出纠正违法通知书18份。开展重大案件侦查终结前讯问合法性核查，共办理该类案件14件，其中涉黑涉恶案件8件、涉毒案件6件，保障公民合法权益。</w:t>
      </w:r>
    </w:p>
    <w:p w14:paraId="5DE13E81">
      <w:pPr>
        <w:spacing w:line="480" w:lineRule="exact"/>
        <w:ind w:firstLine="640" w:firstLineChars="200"/>
        <w:rPr>
          <w:rFonts w:ascii="黑体" w:eastAsia="黑体"/>
          <w:color w:val="000000"/>
          <w:sz w:val="32"/>
          <w:szCs w:val="32"/>
        </w:rPr>
      </w:pPr>
      <w:r>
        <w:rPr>
          <w:rFonts w:hint="eastAsia" w:ascii="黑体" w:eastAsia="黑体"/>
          <w:color w:val="000000"/>
          <w:sz w:val="32"/>
          <w:szCs w:val="32"/>
        </w:rPr>
        <w:t>四、凝心聚力抓队伍建设，锻造忠诚干净担当检察铁军</w:t>
      </w:r>
    </w:p>
    <w:p w14:paraId="67450486">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坚持政治引领。</w:t>
      </w:r>
      <w:r>
        <w:rPr>
          <w:rFonts w:hint="eastAsia" w:ascii="仿宋_GB2312" w:eastAsia="仿宋_GB2312"/>
          <w:sz w:val="32"/>
          <w:szCs w:val="32"/>
        </w:rPr>
        <w:t>持续巩固和深化“不忘初心、牢记使命”主题教育成果，组织全体干警参加政治轮训，收听收看了模范政法单位永丰县人民法院和井冈山市茨坪派出所的先进事迹，开展思想政治教育、革命传统教育，不断提升检察干警政治素质，树牢“四个意识”、坚定“四个自信”、做到“两个维护”。全面落实基层党组织建设“三化”要求，严格“三会一课”制度，严肃党内组织生活，严守政治纪律和政治规矩，坚持党对检察工作的绝对领导。</w:t>
      </w:r>
    </w:p>
    <w:p w14:paraId="28D145B2">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持续正风肃纪。</w:t>
      </w:r>
      <w:r>
        <w:rPr>
          <w:rFonts w:hint="eastAsia" w:ascii="仿宋_GB2312" w:eastAsia="仿宋_GB2312"/>
          <w:sz w:val="32"/>
          <w:szCs w:val="32"/>
        </w:rPr>
        <w:t>坚决贯彻全面从严治党要求，始终把纪律和规矩挺在前面，切实履行党风廉政建设主体责任，落实“一岗双责”，全员层层签订党风廉政责任状。坚持严管就是厚爱，开展常态化警示教育，组织干警参加省院、市院开展的警示教育学习，收看“内蒙古王永明涉黑案庭审舆情事件”等专题警示教育片，让干警知敬畏、存戒惧、守底线。严格执行过问或干预、插手司法办案等“三个规定”，如实记录相关事项，使依法办案成为检察人员的行动自觉。</w:t>
      </w:r>
    </w:p>
    <w:p w14:paraId="5FF7106C">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提升专业能力。</w:t>
      </w:r>
      <w:r>
        <w:rPr>
          <w:rFonts w:hint="eastAsia" w:ascii="仿宋_GB2312" w:eastAsia="仿宋_GB2312"/>
          <w:sz w:val="32"/>
          <w:szCs w:val="32"/>
        </w:rPr>
        <w:t>坚持线上线下相结合，组织全院干警参加中央政法委、</w:t>
      </w:r>
      <w:r>
        <w:rPr>
          <w:rFonts w:hint="eastAsia" w:ascii="仿宋_GB2312" w:eastAsia="仿宋_GB2312"/>
          <w:sz w:val="32"/>
          <w:szCs w:val="32"/>
          <w:lang w:eastAsia="zh-CN"/>
        </w:rPr>
        <w:t>最高检</w:t>
      </w:r>
      <w:r>
        <w:rPr>
          <w:rFonts w:hint="eastAsia" w:ascii="仿宋_GB2312" w:eastAsia="仿宋_GB2312"/>
          <w:sz w:val="32"/>
          <w:szCs w:val="32"/>
        </w:rPr>
        <w:t>、省院、市院组织的各类视频讲座20多场。充分利用“学习强国”、“检答网”、中国检察教育培训网络学院、江西干部网络学院等学习平台，组织180余人次参加各类政治理论、业务技能培训。强化实战实训和岗位练兵，选派各条线业务骨干参加上级院组织的各项业务竞赛，大力培养办案能手。</w:t>
      </w:r>
    </w:p>
    <w:p w14:paraId="5646135D">
      <w:pPr>
        <w:spacing w:line="480" w:lineRule="exact"/>
        <w:ind w:firstLine="640" w:firstLineChars="200"/>
        <w:rPr>
          <w:rFonts w:ascii="黑体" w:eastAsia="黑体"/>
          <w:color w:val="000000"/>
          <w:sz w:val="32"/>
          <w:szCs w:val="32"/>
        </w:rPr>
      </w:pPr>
      <w:r>
        <w:rPr>
          <w:rFonts w:hint="eastAsia" w:ascii="黑体" w:eastAsia="黑体"/>
          <w:color w:val="000000"/>
          <w:sz w:val="32"/>
          <w:szCs w:val="32"/>
        </w:rPr>
        <w:t>五、提升站位自觉接受监督，让检察权在阳光下运行</w:t>
      </w:r>
    </w:p>
    <w:p w14:paraId="6AFC7450">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持续推进司法责任制改革。</w:t>
      </w:r>
      <w:r>
        <w:rPr>
          <w:rFonts w:hint="eastAsia" w:ascii="仿宋_GB2312" w:eastAsia="仿宋_GB2312"/>
          <w:sz w:val="32"/>
          <w:szCs w:val="32"/>
        </w:rPr>
        <w:t>落实轮案制、检察官职权清单、检察官联席会议等制度，突出检察官在办案中的主体地位。由担任院领导职务的检察官带头办理重大疑难复杂案件，入额院领导共办理案件289件，占比达61.75%，出庭支持公诉174次。强化“案-件比”</w:t>
      </w:r>
      <w:r>
        <w:rPr>
          <w:rFonts w:ascii="Calibri" w:hAnsi="Calibri" w:eastAsia="仿宋_GB2312" w:cs="Calibri"/>
          <w:sz w:val="32"/>
          <w:szCs w:val="32"/>
          <w:vertAlign w:val="superscript"/>
        </w:rPr>
        <w:t>⑧</w:t>
      </w:r>
      <w:r>
        <w:rPr>
          <w:rFonts w:hint="eastAsia" w:ascii="仿宋_GB2312" w:eastAsia="仿宋_GB2312"/>
          <w:sz w:val="32"/>
          <w:szCs w:val="32"/>
        </w:rPr>
        <w:t>质效评价标准，努力把工作做到极致，避免不应有的程序空转。2020年刑事检察“案-件比”为1:1.83，同比（1:2.14）下降0.31，减少了约145个不必要的办案环节。</w:t>
      </w:r>
    </w:p>
    <w:p w14:paraId="719CD966">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不断加强司法规范化。</w:t>
      </w:r>
      <w:r>
        <w:rPr>
          <w:rFonts w:hint="eastAsia" w:ascii="仿宋_GB2312" w:eastAsia="仿宋_GB2312"/>
          <w:sz w:val="32"/>
          <w:szCs w:val="32"/>
        </w:rPr>
        <w:t>开展办案流程监控，针对存在的不规范问题，发出书面纠正意见，督促整改落实，不断规范司法行为。落实案件质量评查制度，共对203件案件开展质量评查，加强对认罪认罚、不捕不诉案件的监督审查，防止违规滥权。将评查结果与检察官的年终绩效考核挂钩，与检察官等级晋升和退出员额挂钩，倒逼办案质效提升。</w:t>
      </w:r>
    </w:p>
    <w:p w14:paraId="32ADE86D">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深入开展检务公开。</w:t>
      </w:r>
      <w:r>
        <w:rPr>
          <w:rFonts w:hint="eastAsia" w:ascii="仿宋_GB2312" w:eastAsia="仿宋_GB2312"/>
          <w:sz w:val="32"/>
          <w:szCs w:val="32"/>
        </w:rPr>
        <w:t>共通过12309检察服务平台公开重要案件信息26条、法律文书256份、程序性信息591条，接待律师、诉讼代理人申请阅卷63人次。通过门户网站、“两微一端”等自媒体及时发布检察工作动态500余条，举行扫黑除恶新闻发布会1次。推行审查案件听证制度，对6件拟不起诉、司法救助等案件开展听证，让公平正义可触可感可信。</w:t>
      </w:r>
    </w:p>
    <w:p w14:paraId="6C8A98B6">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自觉接受各界监督。</w:t>
      </w:r>
      <w:r>
        <w:rPr>
          <w:rFonts w:hint="eastAsia" w:ascii="仿宋_GB2312" w:eastAsia="仿宋_GB2312"/>
          <w:sz w:val="32"/>
          <w:szCs w:val="32"/>
        </w:rPr>
        <w:t>主动向县委、县人大、县委政法委报告工作，认真梳理人大代表、政协委员及社会各界对检察工作的意见和建议，并逐项整改落实，自觉接受人民群众及新闻媒体的监督。开展“服务‘六稳’‘六保’、护航民企发展”等主题检察开放日活动，邀请数十名人大代表、政协委员、企业家代表走进检察院，增进社会各界对检察工作的了解。邀请5名人民监督员监督办案，监督检察权力运行，提升司法公信力。</w:t>
      </w:r>
    </w:p>
    <w:p w14:paraId="6E1A9D57">
      <w:pPr>
        <w:spacing w:line="480" w:lineRule="exact"/>
        <w:ind w:firstLine="640" w:firstLineChars="200"/>
        <w:rPr>
          <w:rFonts w:ascii="仿宋_GB2312" w:eastAsia="仿宋_GB2312"/>
          <w:sz w:val="32"/>
          <w:szCs w:val="32"/>
        </w:rPr>
      </w:pPr>
      <w:r>
        <w:rPr>
          <w:rFonts w:hint="eastAsia" w:ascii="仿宋_GB2312" w:eastAsia="仿宋_GB2312"/>
          <w:sz w:val="32"/>
          <w:szCs w:val="32"/>
        </w:rPr>
        <w:t>各位代表，一年来，县检察院内强素质、外塑形象，实现了业务发展和队伍建设双提升，有多名干警受到了县委县政府及上级检察机关的表彰。2020年我院工作满意率为99.58%，取得检察系统全省第12名、全市第1名的好成绩。这些成绩的取得离不开县委及上级检察机关的正确领导，离不开县人大及其常委会的有力监督和县政府、县政协的大力支持，离不开各级人大代表、政协委员和社会各界的关心、支持和帮助。在此，我代表县检察院表示衷心的感谢！</w:t>
      </w:r>
    </w:p>
    <w:p w14:paraId="2A02CD63">
      <w:pPr>
        <w:spacing w:line="480" w:lineRule="exact"/>
        <w:ind w:firstLine="640" w:firstLineChars="200"/>
        <w:rPr>
          <w:rFonts w:ascii="仿宋_GB2312" w:eastAsia="仿宋_GB2312"/>
          <w:sz w:val="32"/>
          <w:szCs w:val="32"/>
        </w:rPr>
      </w:pPr>
      <w:r>
        <w:rPr>
          <w:rFonts w:hint="eastAsia" w:ascii="仿宋_GB2312" w:eastAsia="仿宋_GB2312"/>
          <w:sz w:val="32"/>
          <w:szCs w:val="32"/>
        </w:rPr>
        <w:t>我们也清醒地认识到，检察工作仍存在短板和不足，如检察业务发展还不够平衡、不够充分、不够全面；司法理念更新还不够到位，就案办案、机械司法现象仍没有得到彻底根除；新形势、新发展、新变化下，检察机关法律监督职能发挥还不够充分，我们干警的能力和水平也需要进一步提高。对此，我们一定高度重视，切实加以解决！</w:t>
      </w:r>
    </w:p>
    <w:p w14:paraId="76D46E49">
      <w:pPr>
        <w:autoSpaceDE w:val="0"/>
        <w:autoSpaceDN w:val="0"/>
        <w:adjustRightInd w:val="0"/>
        <w:spacing w:line="480" w:lineRule="exact"/>
        <w:ind w:firstLine="640" w:firstLineChars="200"/>
        <w:rPr>
          <w:rFonts w:ascii="黑体" w:hAnsi="黑体" w:eastAsia="黑体"/>
          <w:color w:val="000000"/>
          <w:sz w:val="32"/>
          <w:szCs w:val="32"/>
        </w:rPr>
      </w:pPr>
    </w:p>
    <w:p w14:paraId="6ED87508">
      <w:pPr>
        <w:autoSpaceDE w:val="0"/>
        <w:autoSpaceDN w:val="0"/>
        <w:adjustRightInd w:val="0"/>
        <w:spacing w:line="480" w:lineRule="exact"/>
        <w:jc w:val="center"/>
        <w:rPr>
          <w:rFonts w:ascii="黑体" w:hAnsi="黑体" w:eastAsia="黑体"/>
          <w:color w:val="000000"/>
          <w:sz w:val="32"/>
          <w:szCs w:val="32"/>
        </w:rPr>
      </w:pPr>
      <w:r>
        <w:rPr>
          <w:rFonts w:hint="eastAsia" w:ascii="黑体" w:eastAsia="黑体"/>
          <w:color w:val="000000"/>
          <w:sz w:val="32"/>
          <w:szCs w:val="32"/>
        </w:rPr>
        <w:t>2021年工作安排</w:t>
      </w:r>
    </w:p>
    <w:p w14:paraId="00A6175C">
      <w:pPr>
        <w:autoSpaceDE w:val="0"/>
        <w:autoSpaceDN w:val="0"/>
        <w:adjustRightInd w:val="0"/>
        <w:spacing w:line="480" w:lineRule="exact"/>
        <w:ind w:firstLine="640" w:firstLineChars="200"/>
        <w:rPr>
          <w:rFonts w:ascii="仿宋_GB2312" w:hAnsi="Calibri" w:eastAsia="仿宋_GB2312"/>
          <w:color w:val="000000"/>
          <w:sz w:val="32"/>
          <w:szCs w:val="32"/>
        </w:rPr>
      </w:pPr>
    </w:p>
    <w:p w14:paraId="329089B2">
      <w:pPr>
        <w:autoSpaceDE w:val="0"/>
        <w:autoSpaceDN w:val="0"/>
        <w:adjustRightInd w:val="0"/>
        <w:spacing w:line="480" w:lineRule="exact"/>
        <w:ind w:firstLine="640" w:firstLineChars="200"/>
        <w:rPr>
          <w:rFonts w:ascii="黑体" w:eastAsia="黑体"/>
          <w:color w:val="000000"/>
          <w:sz w:val="32"/>
          <w:szCs w:val="32"/>
        </w:rPr>
      </w:pPr>
      <w:r>
        <w:rPr>
          <w:rFonts w:hint="eastAsia" w:ascii="仿宋_GB2312" w:eastAsia="仿宋_GB2312"/>
          <w:color w:val="000000"/>
          <w:sz w:val="32"/>
          <w:szCs w:val="32"/>
        </w:rPr>
        <w:t>2021年，我院将</w:t>
      </w:r>
      <w:r>
        <w:rPr>
          <w:rFonts w:hint="eastAsia" w:ascii="黑体" w:eastAsia="黑体"/>
          <w:color w:val="000000"/>
          <w:sz w:val="32"/>
          <w:szCs w:val="32"/>
        </w:rPr>
        <w:t>坚持以习近平新时代中国特色社会主义思想为指导，深入贯彻习近平法治思想和十九届五中全会精神，全面落实中央、省、市、县重大决策部署和上级检察院工作要求，坚持党对检察工作的绝对领导，以“基层检察院建设推进年”为契机，以队伍教育整顿为抓手，全面履职补短板、用心工作求极致，为开启全面建设社会主义现代化国家新征程，推动新干经济社会高质量跨越式发展贡献检察力量。</w:t>
      </w:r>
    </w:p>
    <w:p w14:paraId="2C850514">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一是着力抓好政治建设。</w:t>
      </w:r>
      <w:r>
        <w:rPr>
          <w:rFonts w:hint="eastAsia" w:ascii="仿宋_GB2312" w:eastAsia="仿宋_GB2312"/>
          <w:sz w:val="32"/>
          <w:szCs w:val="32"/>
        </w:rPr>
        <w:t>把学习贯彻习近平新时代中国特色社会主义思想作为首要政治任务，深入开展习近平法治思想学习研讨实践活动，深入开展政法队伍教育整顿，扎实开展党史学习教育，教育引导干警树牢“四个意识”，坚定“四个自信”，做到“两个维护”，着力提高检察履职的政治判断力、政治领悟力、政治执行力，把讲政治落实到业务工作和队伍建设各方面，落实到检察工作各环节、全过程。</w:t>
      </w:r>
    </w:p>
    <w:p w14:paraId="7001ABA5">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二是着力服务中心大局。</w:t>
      </w:r>
      <w:r>
        <w:rPr>
          <w:rFonts w:hint="eastAsia" w:ascii="仿宋_GB2312" w:eastAsia="仿宋_GB2312"/>
          <w:sz w:val="32"/>
          <w:szCs w:val="32"/>
        </w:rPr>
        <w:t>聚焦“十四五”时期经济社会发展目标任务，紧紧围绕县委县政府的决策部署，把握新发展阶段、贯彻新发展理念、构建新发展格局，找准检察服务的着力点。突出惩治危害国家安全犯罪、严重暴力犯罪、经济金融犯罪、网络犯罪，推进扫黑除恶常态化，不断加大反腐败力度，建设更高水平的平安新干、法治新干。依法保障促进民营经济健康发展，以更大力度营造法治化营商环境，持续做好“六稳”工作，落实“六保”任务，服从服务疫情防控和经济社会发展。</w:t>
      </w:r>
    </w:p>
    <w:p w14:paraId="33704E67">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三是着力强化保障民生。</w:t>
      </w:r>
      <w:r>
        <w:rPr>
          <w:rFonts w:hint="eastAsia" w:ascii="仿宋_GB2312" w:eastAsia="仿宋_GB2312"/>
          <w:sz w:val="32"/>
          <w:szCs w:val="32"/>
        </w:rPr>
        <w:t>自觉践行以人民为中心的发展理念，始终将群众利益放在心中，系统研究谋划和解决法治领域人民群众反映的突出问题，严厉惩治“两抢一盗”、电信网络诈骗、非法集资、侵犯公民个人信息等犯罪，在保护农村留守儿童、关爱空巢老人、帮助农民工讨薪等方面持续发力。融入平安乡村、法治乡村建设，助力巩固拓展脱贫攻坚成果同乡村振兴有效衔接。继续开展“公益诉讼守护美好生活”等专项监督活动，严厉打击非法捕捞、危险废物倾倒特别是跨域倾倒违法犯罪，落实食品药品安全“四个最严”要求，守护人民群众“舌尖上”的安全。</w:t>
      </w:r>
    </w:p>
    <w:p w14:paraId="0B81828F">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四是着力维护司法公正。</w:t>
      </w:r>
      <w:r>
        <w:rPr>
          <w:rFonts w:hint="eastAsia" w:ascii="仿宋_GB2312" w:eastAsia="仿宋_GB2312"/>
          <w:sz w:val="32"/>
          <w:szCs w:val="32"/>
        </w:rPr>
        <w:t>持续更新司法理念，坚持打击犯罪与保障人权并举，秉持客观公正立场履行好指控犯罪主导责任，做到不枉不纵、宽严有度。补齐民事行政检察短板，注重监督数量和监督效果的统一。加强检察建议工作，切实提升监督水平和监督质效，把检察建议做成刚性，实现双赢多赢共赢。坚持在办案中监督，在监督中办案，全面加强对刑事、民事和行政诉讼活动的监督，着力解决执法不严、司法不公突出问题，努力让人民群众在每一起案件办理、每一件事情处理中都感受到公平正义。</w:t>
      </w:r>
    </w:p>
    <w:p w14:paraId="268E58BD">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五是着力打造过硬队伍。</w:t>
      </w:r>
      <w:r>
        <w:rPr>
          <w:rFonts w:hint="eastAsia" w:ascii="仿宋_GB2312" w:eastAsia="仿宋_GB2312"/>
          <w:sz w:val="32"/>
          <w:szCs w:val="32"/>
        </w:rPr>
        <w:t>对标中央全面从严治党新要求，认真贯彻落实最高检《关于加强新时代基层检察院建设的意见》，进一步加强领导班子建设，深化队伍专业化建设，深化司法责任制落实，提高司法办案质效。以开展政法队伍教育整顿为契机，持之以恒正风肃纪，坚决清除害群之马，坚决整治顽瘴痼疾，努力打造一支让党放心、让人民满意的新时代检察队伍。</w:t>
      </w:r>
    </w:p>
    <w:p w14:paraId="4B35A8E6">
      <w:pPr>
        <w:spacing w:line="480" w:lineRule="exact"/>
        <w:ind w:firstLine="640" w:firstLineChars="200"/>
        <w:rPr>
          <w:rFonts w:ascii="仿宋_GB2312" w:eastAsia="仿宋_GB2312"/>
          <w:sz w:val="32"/>
          <w:szCs w:val="32"/>
        </w:rPr>
      </w:pPr>
      <w:r>
        <w:rPr>
          <w:rFonts w:hint="eastAsia" w:ascii="仿宋_GB2312" w:eastAsia="仿宋_GB2312"/>
          <w:sz w:val="32"/>
          <w:szCs w:val="32"/>
        </w:rPr>
        <w:t>各位代表，奋进正当时，追梦再出发！新的一年，县检察院将在县委和上级检察机关领导下，在县人大及其常委会监督下，认真贯彻执行本次会议精神，以饱满的热情、昂扬的斗志、务实的作风，奋力推动新干检察工作再上新台阶，为我县全力打造江西中部脊梁重要支点、对接大南昌都市圈重要节点，争当吉安建设革命老区高质量发展先行区排头兵贡献检察力量，以优异成绩庆祝建党100周年！</w:t>
      </w:r>
    </w:p>
    <w:p w14:paraId="6FD48BAE">
      <w:pPr>
        <w:pStyle w:val="2"/>
        <w:ind w:left="420" w:firstLine="560"/>
        <w:rPr>
          <w:rFonts w:ascii="仿宋_GB2312"/>
          <w:sz w:val="28"/>
        </w:rPr>
      </w:pPr>
      <w:r>
        <w:rPr>
          <w:rFonts w:hint="eastAsia" w:ascii="仿宋_GB2312"/>
          <w:sz w:val="28"/>
        </w:rPr>
        <w:drawing>
          <wp:anchor distT="0" distB="0" distL="114300" distR="114300" simplePos="0" relativeHeight="251660288" behindDoc="0" locked="0" layoutInCell="1" allowOverlap="1">
            <wp:simplePos x="0" y="0"/>
            <wp:positionH relativeFrom="column">
              <wp:posOffset>2091690</wp:posOffset>
            </wp:positionH>
            <wp:positionV relativeFrom="paragraph">
              <wp:posOffset>406400</wp:posOffset>
            </wp:positionV>
            <wp:extent cx="1514475" cy="1514475"/>
            <wp:effectExtent l="0" t="0" r="9525" b="9525"/>
            <wp:wrapNone/>
            <wp:docPr id="2" name="图片 2" descr="微信图片_2020050818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508182544"/>
                    <pic:cNvPicPr>
                      <a:picLocks noChangeAspect="1"/>
                    </pic:cNvPicPr>
                  </pic:nvPicPr>
                  <pic:blipFill>
                    <a:blip r:embed="rId9"/>
                    <a:stretch>
                      <a:fillRect/>
                    </a:stretch>
                  </pic:blipFill>
                  <pic:spPr>
                    <a:xfrm>
                      <a:off x="0" y="0"/>
                      <a:ext cx="1514475" cy="1514475"/>
                    </a:xfrm>
                    <a:prstGeom prst="rect">
                      <a:avLst/>
                    </a:prstGeom>
                  </pic:spPr>
                </pic:pic>
              </a:graphicData>
            </a:graphic>
          </wp:anchor>
        </w:drawing>
      </w:r>
    </w:p>
    <w:p w14:paraId="036A432C">
      <w:pPr>
        <w:pStyle w:val="2"/>
        <w:ind w:left="420" w:firstLine="560"/>
        <w:rPr>
          <w:rFonts w:ascii="仿宋_GB2312"/>
          <w:sz w:val="28"/>
        </w:rPr>
      </w:pPr>
    </w:p>
    <w:p w14:paraId="4097FB17">
      <w:pPr>
        <w:pStyle w:val="2"/>
        <w:ind w:left="420" w:firstLine="560"/>
        <w:rPr>
          <w:rFonts w:ascii="仿宋_GB2312"/>
          <w:sz w:val="28"/>
        </w:rPr>
      </w:pPr>
    </w:p>
    <w:p w14:paraId="0F1F5859">
      <w:pPr>
        <w:pStyle w:val="2"/>
        <w:spacing w:line="480" w:lineRule="exact"/>
        <w:ind w:left="420" w:firstLine="640"/>
      </w:pPr>
    </w:p>
    <w:p w14:paraId="05950A84">
      <w:pPr>
        <w:pStyle w:val="2"/>
        <w:spacing w:line="480" w:lineRule="exact"/>
        <w:ind w:left="420" w:firstLine="640"/>
      </w:pPr>
    </w:p>
    <w:p w14:paraId="715427B2">
      <w:pPr>
        <w:pStyle w:val="2"/>
        <w:spacing w:line="480" w:lineRule="exact"/>
        <w:ind w:left="0" w:leftChars="0" w:firstLine="0" w:firstLineChars="0"/>
        <w:jc w:val="center"/>
        <w:rPr>
          <w:rFonts w:ascii="仿宋_GB2312"/>
          <w:sz w:val="28"/>
        </w:rPr>
      </w:pPr>
      <w:r>
        <w:rPr>
          <w:rFonts w:hint="eastAsia" w:ascii="仿宋_GB2312"/>
          <w:sz w:val="28"/>
        </w:rPr>
        <w:t>新干县人民检察院微信公众号</w:t>
      </w:r>
    </w:p>
    <w:p w14:paraId="6EA74D36">
      <w:pPr>
        <w:pStyle w:val="2"/>
        <w:spacing w:line="480" w:lineRule="exact"/>
        <w:ind w:left="0" w:leftChars="0" w:firstLine="0" w:firstLineChars="0"/>
        <w:jc w:val="center"/>
        <w:rPr>
          <w:rFonts w:ascii="仿宋_GB2312"/>
          <w:sz w:val="28"/>
        </w:rPr>
      </w:pPr>
      <w:r>
        <w:rPr>
          <w:rFonts w:hint="eastAsia" w:ascii="仿宋_GB2312"/>
          <w:sz w:val="28"/>
        </w:rPr>
        <w:t>jaxgjcy</w:t>
      </w:r>
    </w:p>
    <w:p w14:paraId="726B2D0D">
      <w:pPr>
        <w:spacing w:line="480" w:lineRule="exact"/>
        <w:rPr>
          <w:rFonts w:ascii="黑体" w:eastAsia="黑体"/>
          <w:color w:val="000000"/>
          <w:sz w:val="32"/>
          <w:szCs w:val="32"/>
        </w:rPr>
      </w:pPr>
      <w:r>
        <w:rPr>
          <w:rFonts w:hint="eastAsia" w:ascii="黑体" w:eastAsia="黑体"/>
          <w:color w:val="000000"/>
          <w:sz w:val="32"/>
          <w:szCs w:val="32"/>
        </w:rPr>
        <w:t>附件：</w:t>
      </w:r>
    </w:p>
    <w:p w14:paraId="06F89455">
      <w:pPr>
        <w:spacing w:line="480" w:lineRule="exact"/>
        <w:jc w:val="center"/>
        <w:rPr>
          <w:rFonts w:ascii="黑体" w:eastAsia="黑体"/>
          <w:color w:val="000000"/>
          <w:sz w:val="44"/>
          <w:szCs w:val="44"/>
        </w:rPr>
      </w:pPr>
      <w:r>
        <w:rPr>
          <w:rFonts w:hint="eastAsia" w:ascii="黑体" w:eastAsia="黑体"/>
          <w:color w:val="000000"/>
          <w:sz w:val="44"/>
          <w:szCs w:val="44"/>
        </w:rPr>
        <w:t>新干县人民检察院工作报告用语说明</w:t>
      </w:r>
    </w:p>
    <w:p w14:paraId="7F67A6BA">
      <w:pPr>
        <w:pStyle w:val="11"/>
        <w:spacing w:before="0" w:beforeAutospacing="0" w:after="0" w:afterAutospacing="0" w:line="480" w:lineRule="exact"/>
        <w:ind w:firstLine="643" w:firstLineChars="200"/>
        <w:jc w:val="both"/>
        <w:rPr>
          <w:rFonts w:ascii="楷体_GB2312" w:hAnsi="Times New Roman" w:eastAsia="楷体_GB2312" w:cs="Times New Roman"/>
          <w:b/>
          <w:bCs/>
          <w:color w:val="000000"/>
          <w:kern w:val="2"/>
          <w:sz w:val="32"/>
          <w:szCs w:val="32"/>
        </w:rPr>
      </w:pPr>
    </w:p>
    <w:p w14:paraId="097AFFDC">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1.12309检察服务平台：</w:t>
      </w:r>
      <w:r>
        <w:rPr>
          <w:rFonts w:hint="eastAsia" w:ascii="仿宋_GB2312" w:eastAsia="仿宋_GB2312"/>
          <w:sz w:val="32"/>
          <w:szCs w:val="32"/>
        </w:rPr>
        <w:t>是全国检察机关统一对外的智能化检察为民综合服务网络平台，通过12309网站、12309检察服务热线（电话）、12309移动客户端（手机APP)和12309微信公众号四种渠道，向社会提供更加便捷高效的“一站式”检察服务。主要包括3大模块13项具体功能，即：检察服务（包括：控告、刑事申诉、民行申诉、国家赔偿、其他信访、法律咨询）、案件信息公开（包括：案件程序性信息查询、辩护与代理网上预约、重要案件信息、法律文书公开，直接</w:t>
      </w:r>
      <w:r>
        <w:rPr>
          <w:rFonts w:hint="eastAsia" w:ascii="仿宋_GB2312" w:eastAsia="仿宋_GB2312"/>
          <w:sz w:val="32"/>
          <w:szCs w:val="32"/>
          <w:lang w:eastAsia="zh-CN"/>
        </w:rPr>
        <w:t>登录</w:t>
      </w:r>
      <w:r>
        <w:rPr>
          <w:rFonts w:hint="eastAsia" w:ascii="仿宋_GB2312" w:eastAsia="仿宋_GB2312"/>
          <w:sz w:val="32"/>
          <w:szCs w:val="32"/>
        </w:rPr>
        <w:t>微信关注12309检察服务中心公众号或</w:t>
      </w:r>
      <w:r>
        <w:fldChar w:fldCharType="begin"/>
      </w:r>
      <w:r>
        <w:instrText xml:space="preserve"> HYPERLINK "http://www.ajxxgk.jcy.gov.cn进行注册登陆或qq2432853205" </w:instrText>
      </w:r>
      <w:r>
        <w:fldChar w:fldCharType="separate"/>
      </w:r>
      <w:r>
        <w:rPr>
          <w:rFonts w:hint="eastAsia" w:ascii="仿宋_GB2312" w:eastAsia="仿宋_GB2312"/>
          <w:sz w:val="32"/>
          <w:szCs w:val="32"/>
        </w:rPr>
        <w:t>http://www.ajxxgk.jcy.gov.cn进行注册</w:t>
      </w:r>
      <w:r>
        <w:rPr>
          <w:rFonts w:hint="eastAsia" w:ascii="仿宋_GB2312" w:eastAsia="仿宋_GB2312"/>
          <w:sz w:val="32"/>
          <w:szCs w:val="32"/>
          <w:lang w:eastAsia="zh-CN"/>
        </w:rPr>
        <w:t>登录</w:t>
      </w:r>
      <w:r>
        <w:rPr>
          <w:rFonts w:hint="eastAsia" w:ascii="仿宋_GB2312" w:eastAsia="仿宋_GB2312"/>
          <w:sz w:val="32"/>
          <w:szCs w:val="32"/>
        </w:rPr>
        <w:fldChar w:fldCharType="end"/>
      </w:r>
      <w:r>
        <w:rPr>
          <w:rFonts w:hint="eastAsia" w:ascii="仿宋_GB2312" w:eastAsia="仿宋_GB2312"/>
          <w:sz w:val="32"/>
          <w:szCs w:val="32"/>
        </w:rPr>
        <w:t>）、接受监督（包括:人大代表政协委员联络平台、人民监督员监督服务、群众意见建议箱）。</w:t>
      </w:r>
    </w:p>
    <w:p w14:paraId="35BB3F86">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2.扫黑除恶“六清”行动：</w:t>
      </w:r>
      <w:r>
        <w:rPr>
          <w:rFonts w:hint="eastAsia" w:ascii="仿宋_GB2312" w:eastAsia="仿宋_GB2312"/>
          <w:sz w:val="32"/>
          <w:szCs w:val="32"/>
        </w:rPr>
        <w:t>是中央政法委秘书长、全国扫黑办主任陈一新于2020年4月8日主持召开全国扫黑办第9次主任会议，提出要深入开展“六清”行动。具体是：“线索清仓”、“逃犯清零”、“案件清结”、“伞网清除”、“黑财清底”、“行业清源”。</w:t>
      </w:r>
    </w:p>
    <w:p w14:paraId="0290413C">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3.三号检察建议：</w:t>
      </w:r>
      <w:r>
        <w:rPr>
          <w:rFonts w:hint="eastAsia" w:ascii="仿宋_GB2312" w:eastAsia="仿宋_GB2312"/>
          <w:sz w:val="32"/>
          <w:szCs w:val="32"/>
        </w:rPr>
        <w:t>是指2019年最高人民检察院针对检察机关办理的金融违法犯罪对金融安全、社会稳定造成的影响，聚焦金融风险防范化解工作，向中央财经委发送的检察建议。</w:t>
      </w:r>
    </w:p>
    <w:p w14:paraId="7B49763D">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4.一号检察建议：</w:t>
      </w:r>
      <w:r>
        <w:rPr>
          <w:rFonts w:hint="eastAsia" w:ascii="仿宋_GB2312" w:eastAsia="仿宋_GB2312"/>
          <w:sz w:val="32"/>
          <w:szCs w:val="32"/>
        </w:rPr>
        <w:t>是指最高人民检察院在2018年10月19日向教育部发送的《中华人民共和国最高人民检察院检察建议书》中,认真分析办理的性侵幼儿园儿童、中小学生犯罪案件,针对校园安全管理规定执行不严格、教职员工队伍管理不到位,以及儿童和学生法治教育、预防性侵害教育缺位等问题,提出三项具体建议。因这是最高检首次直接向国务院组成部门发送检察建议,也是最高检首次发出的社会治理创新方面的检察建议书,编号为一号,故称为“一号检察建议”。</w:t>
      </w:r>
    </w:p>
    <w:p w14:paraId="018BBF6D">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5.“护苗2020”专项行动：</w:t>
      </w:r>
      <w:r>
        <w:rPr>
          <w:rFonts w:hint="eastAsia" w:ascii="仿宋_GB2312" w:eastAsia="仿宋_GB2312"/>
          <w:sz w:val="32"/>
          <w:szCs w:val="32"/>
        </w:rPr>
        <w:t>是全国“扫黄打非”办公室为大力营造有利于青少年健康成长的社会环境，重点对涉及未成年人较多的网络直播、网络文学和漫画等领域开展的专项行动整治活动。</w:t>
      </w:r>
    </w:p>
    <w:p w14:paraId="639AE1D5">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6.认罪认罚从宽制度：</w:t>
      </w:r>
      <w:r>
        <w:rPr>
          <w:rFonts w:hint="eastAsia" w:ascii="仿宋_GB2312" w:eastAsia="仿宋_GB2312"/>
          <w:sz w:val="32"/>
          <w:szCs w:val="32"/>
        </w:rPr>
        <w:t>是指犯罪嫌疑人、被告人自愿如实供述自己的犯罪，对被指控的犯罪事实没有异议，同意检察机关的量刑意见并签署具结书的案件，可以依法从宽处理。</w:t>
      </w:r>
    </w:p>
    <w:p w14:paraId="367828C5">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7.公益诉讼：</w:t>
      </w:r>
      <w:r>
        <w:rPr>
          <w:rFonts w:hint="eastAsia" w:ascii="仿宋_GB2312" w:eastAsia="仿宋_GB2312"/>
          <w:sz w:val="32"/>
          <w:szCs w:val="32"/>
        </w:rPr>
        <w:t>公益诉讼包括民事公益诉讼和行政公益诉讼。</w:t>
      </w:r>
    </w:p>
    <w:p w14:paraId="46A99499">
      <w:pPr>
        <w:spacing w:line="480" w:lineRule="exact"/>
        <w:ind w:firstLine="640" w:firstLineChars="200"/>
        <w:rPr>
          <w:rFonts w:ascii="仿宋_GB2312" w:eastAsia="仿宋_GB2312"/>
          <w:sz w:val="32"/>
          <w:szCs w:val="32"/>
        </w:rPr>
      </w:pPr>
      <w:r>
        <w:rPr>
          <w:rFonts w:hint="eastAsia" w:ascii="仿宋_GB2312" w:eastAsia="仿宋_GB2312"/>
          <w:sz w:val="32"/>
          <w:szCs w:val="32"/>
        </w:rPr>
        <w:t>民事公益诉讼是指人民检察院在履行职责中发现侵害英雄烈士名誉、破坏生态环境和资源保护、食品药品安全领域侵害众多消费者合法权益等损害社会公共利益的行为，在没有法律规定的机关和组织，或者法律规定的机关和组织不提起诉讼的情况下，可以向人民法院提起诉讼。法律规定的机关和组织提起诉讼的，人民检察院可以支持起诉。</w:t>
      </w:r>
    </w:p>
    <w:p w14:paraId="01E78395">
      <w:pPr>
        <w:spacing w:line="480" w:lineRule="exact"/>
        <w:ind w:firstLine="640" w:firstLineChars="200"/>
        <w:rPr>
          <w:rFonts w:ascii="仿宋_GB2312" w:eastAsia="仿宋_GB2312"/>
          <w:sz w:val="32"/>
          <w:szCs w:val="32"/>
        </w:rPr>
      </w:pPr>
      <w:r>
        <w:rPr>
          <w:rFonts w:hint="eastAsia" w:ascii="仿宋_GB2312" w:eastAsia="仿宋_GB2312"/>
          <w:sz w:val="32"/>
          <w:szCs w:val="32"/>
        </w:rPr>
        <w:t>行政公益诉讼是指人民检察院在履行职责中发现生态环境和资源保护、食品药品安全、国有财产保护、国有土地使用权出让等领域负有监督管理职责的行政机关违法行使职权或者不作为，致使国家利益或者社会公共利益受到侵害或者有侵害可能时，发挥民事行政检察职能，依法运用检察建议、提起公益诉讼等措施督促其纠正的法律监督活动。</w:t>
      </w:r>
    </w:p>
    <w:p w14:paraId="3B5E35A3">
      <w:pPr>
        <w:spacing w:line="480" w:lineRule="exact"/>
        <w:ind w:firstLine="643" w:firstLineChars="200"/>
        <w:rPr>
          <w:rFonts w:ascii="仿宋_GB2312" w:eastAsia="仿宋_GB2312"/>
          <w:sz w:val="32"/>
          <w:szCs w:val="32"/>
        </w:rPr>
      </w:pPr>
      <w:r>
        <w:rPr>
          <w:rFonts w:hint="eastAsia" w:ascii="楷体_GB2312" w:eastAsia="楷体_GB2312"/>
          <w:b/>
          <w:bCs/>
          <w:color w:val="000000"/>
          <w:sz w:val="32"/>
          <w:szCs w:val="32"/>
        </w:rPr>
        <w:t>8.刑事检察“案-件比”：</w:t>
      </w:r>
      <w:r>
        <w:rPr>
          <w:rFonts w:hint="eastAsia" w:ascii="仿宋_GB2312" w:eastAsia="仿宋_GB2312"/>
          <w:sz w:val="32"/>
          <w:szCs w:val="32"/>
        </w:rPr>
        <w:t>是指刑事“案子”一案，经过办案机关若干程序环节，就被统计为若干“件”。一个案子“件”数越多，说明其所经历的司法程序越多，司法资源耗费越多，当事人讼累也越重。如果一个“案子”，进入检察程序后一次性优质办结，司法资源投入最少，当事人感受最好。最高人民检察院创立这一评价标准意在督导检察官强化责任意识、提升司法能力，努力把工作做到极致，避免不应有的程序空转。</w:t>
      </w:r>
    </w:p>
    <w:p w14:paraId="7F81690A">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5DF23F02">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12DE090E">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67B8857F">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3C166237">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293C10D7">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0718F03F">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38123E10">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6C5B668D">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0F5D721D">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32FB1401">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79E86DE7">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1FC561A7">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2F88366D">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46C0C054">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0715ABEE">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13DB90D7">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0E2F0D2C">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28104FF4">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24EA54F2">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3C55C06A">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66595E0A">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11E1E54D">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7757D80D">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5A5E885B">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2B87E6AB">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6ED63B07">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778CA6B9">
      <w:pPr>
        <w:pStyle w:val="11"/>
        <w:spacing w:before="0" w:beforeAutospacing="0" w:after="0" w:afterAutospacing="0" w:line="480" w:lineRule="exact"/>
        <w:ind w:firstLine="640" w:firstLineChars="200"/>
        <w:jc w:val="both"/>
        <w:rPr>
          <w:rFonts w:ascii="仿宋_GB2312" w:hAnsi="Times New Roman" w:eastAsia="仿宋_GB2312" w:cs="Times New Roman"/>
          <w:color w:val="000000"/>
          <w:kern w:val="2"/>
          <w:sz w:val="32"/>
          <w:szCs w:val="32"/>
        </w:rPr>
      </w:pPr>
    </w:p>
    <w:p w14:paraId="297D0641">
      <w:pPr>
        <w:spacing w:line="480" w:lineRule="exact"/>
        <w:ind w:left="-540" w:leftChars="-257" w:firstLine="504" w:firstLineChars="180"/>
        <w:rPr>
          <w:rFonts w:ascii="仿宋_GB2312" w:eastAsia="仿宋_GB2312"/>
          <w:sz w:val="28"/>
          <w:szCs w:val="28"/>
        </w:rPr>
      </w:pPr>
      <w:r>
        <w:rPr>
          <w:rFonts w:ascii="仿宋_GB2312" w:eastAsia="仿宋_GB2312"/>
          <w:sz w:val="28"/>
          <w:szCs w:val="28"/>
        </w:rPr>
        <w:pict>
          <v:line id="_x0000_s1035" o:spid="_x0000_s1035" o:spt="20" style="position:absolute;left:0pt;margin-left:0pt;margin-top:17.8pt;height:0pt;width:441pt;z-index:251659264;mso-width-relative:page;mso-height-relative:page;" coordsize="21600,21600">
            <v:path arrowok="t"/>
            <v:fill focussize="0,0"/>
            <v:stroke/>
            <v:imagedata o:title=""/>
            <o:lock v:ext="edit"/>
          </v:line>
        </w:pict>
      </w:r>
      <w:r>
        <w:rPr>
          <w:rFonts w:ascii="仿宋_GB2312" w:eastAsia="仿宋_GB2312"/>
          <w:sz w:val="28"/>
          <w:szCs w:val="28"/>
        </w:rPr>
        <w:pict>
          <v:line id="_x0000_s1037" o:spid="_x0000_s1037" o:spt="20" style="position:absolute;left:0pt;margin-left:0pt;margin-top:17.8pt;height:0pt;width:441pt;z-index:251662336;mso-width-relative:page;mso-height-relative:page;" coordsize="21600,21600">
            <v:path arrowok="t"/>
            <v:fill focussize="0,0"/>
            <v:stroke/>
            <v:imagedata o:title=""/>
            <o:lock v:ext="edit"/>
          </v:line>
        </w:pict>
      </w:r>
    </w:p>
    <w:p w14:paraId="6C2990A0">
      <w:pPr>
        <w:spacing w:line="400" w:lineRule="exact"/>
        <w:ind w:left="-540" w:leftChars="-257" w:firstLine="784" w:firstLineChars="280"/>
        <w:rPr>
          <w:rFonts w:ascii="仿宋_GB2312" w:eastAsia="仿宋_GB2312"/>
          <w:sz w:val="28"/>
          <w:szCs w:val="28"/>
        </w:rPr>
      </w:pPr>
      <w:r>
        <w:rPr>
          <w:rFonts w:ascii="仿宋_GB2312" w:eastAsia="仿宋_GB2312"/>
          <w:sz w:val="28"/>
          <w:szCs w:val="28"/>
        </w:rPr>
        <w:pict>
          <v:line id="_x0000_s1038" o:spid="_x0000_s1038" o:spt="20" style="position:absolute;left:0pt;margin-left:0pt;margin-top:24.8pt;height:0pt;width:441pt;z-index:251661312;mso-width-relative:page;mso-height-relative:page;" coordsize="21600,21600">
            <v:path arrowok="t"/>
            <v:fill focussize="0,0"/>
            <v:stroke/>
            <v:imagedata o:title=""/>
            <o:lock v:ext="edit"/>
          </v:line>
        </w:pict>
      </w:r>
      <w:r>
        <w:rPr>
          <w:rFonts w:hint="eastAsia" w:ascii="仿宋_GB2312" w:eastAsia="仿宋_GB2312"/>
          <w:sz w:val="28"/>
          <w:szCs w:val="28"/>
        </w:rPr>
        <w:t>县十七届人大六次会议秘书处                2021年3月27日印</w:t>
      </w:r>
    </w:p>
    <w:bookmarkEnd w:id="0"/>
    <w:sectPr>
      <w:headerReference r:id="rId5" w:type="default"/>
      <w:footerReference r:id="rId6" w:type="default"/>
      <w:footerReference r:id="rId7" w:type="even"/>
      <w:pgSz w:w="11907" w:h="16840"/>
      <w:pgMar w:top="1440" w:right="1469" w:bottom="1440" w:left="144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37C7E">
    <w:pPr>
      <w:pStyle w:val="9"/>
      <w:framePr w:wrap="around" w:vAnchor="text" w:hAnchor="margin" w:xAlign="outside" w:y="1"/>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- 1 -</w:t>
    </w:r>
    <w:r>
      <w:rPr>
        <w:rFonts w:ascii="宋体" w:hAnsi="宋体"/>
        <w:sz w:val="28"/>
        <w:szCs w:val="28"/>
      </w:rPr>
      <w:fldChar w:fldCharType="end"/>
    </w:r>
  </w:p>
  <w:p w14:paraId="39FAC360">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389B9">
    <w:pPr>
      <w:pStyle w:val="9"/>
      <w:framePr w:wrap="around" w:vAnchor="text" w:hAnchor="margin" w:xAlign="outside" w:y="1"/>
      <w:rPr>
        <w:rStyle w:val="16"/>
      </w:rPr>
    </w:pPr>
    <w:r>
      <w:fldChar w:fldCharType="begin"/>
    </w:r>
    <w:r>
      <w:rPr>
        <w:rStyle w:val="16"/>
      </w:rPr>
      <w:instrText xml:space="preserve">PAGE  </w:instrText>
    </w:r>
    <w:r>
      <w:fldChar w:fldCharType="end"/>
    </w:r>
  </w:p>
  <w:p w14:paraId="7F0B4958">
    <w:pPr>
      <w:pStyle w:val="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B0CF4">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xOWE4NjY5NjZmMzY4YWVjNDdmNDg1Zjg2ZjM5NjEifQ=="/>
  </w:docVars>
  <w:rsids>
    <w:rsidRoot w:val="00D832BB"/>
    <w:rsid w:val="00000DCD"/>
    <w:rsid w:val="00001CDF"/>
    <w:rsid w:val="00001FCC"/>
    <w:rsid w:val="000022E6"/>
    <w:rsid w:val="0001422B"/>
    <w:rsid w:val="00015E40"/>
    <w:rsid w:val="000214C4"/>
    <w:rsid w:val="00021CC9"/>
    <w:rsid w:val="00027DA6"/>
    <w:rsid w:val="00027ED9"/>
    <w:rsid w:val="00030494"/>
    <w:rsid w:val="00031137"/>
    <w:rsid w:val="00034FAD"/>
    <w:rsid w:val="000354C7"/>
    <w:rsid w:val="00035D87"/>
    <w:rsid w:val="00036162"/>
    <w:rsid w:val="00037DBC"/>
    <w:rsid w:val="00040600"/>
    <w:rsid w:val="00041141"/>
    <w:rsid w:val="00041289"/>
    <w:rsid w:val="00042A59"/>
    <w:rsid w:val="000437D7"/>
    <w:rsid w:val="00046F8A"/>
    <w:rsid w:val="000477AB"/>
    <w:rsid w:val="00047F94"/>
    <w:rsid w:val="000512B1"/>
    <w:rsid w:val="0005177A"/>
    <w:rsid w:val="0005292D"/>
    <w:rsid w:val="000555A9"/>
    <w:rsid w:val="00056336"/>
    <w:rsid w:val="00060592"/>
    <w:rsid w:val="00060632"/>
    <w:rsid w:val="00061451"/>
    <w:rsid w:val="000622BB"/>
    <w:rsid w:val="000638CD"/>
    <w:rsid w:val="000645DC"/>
    <w:rsid w:val="0006676F"/>
    <w:rsid w:val="00066972"/>
    <w:rsid w:val="00067874"/>
    <w:rsid w:val="00070A70"/>
    <w:rsid w:val="0007117E"/>
    <w:rsid w:val="0007313C"/>
    <w:rsid w:val="00076681"/>
    <w:rsid w:val="00081864"/>
    <w:rsid w:val="00090E66"/>
    <w:rsid w:val="000924FE"/>
    <w:rsid w:val="00092F04"/>
    <w:rsid w:val="00095096"/>
    <w:rsid w:val="0009643B"/>
    <w:rsid w:val="000A1A10"/>
    <w:rsid w:val="000A5154"/>
    <w:rsid w:val="000A7922"/>
    <w:rsid w:val="000B0461"/>
    <w:rsid w:val="000B160D"/>
    <w:rsid w:val="000B22C0"/>
    <w:rsid w:val="000B28E9"/>
    <w:rsid w:val="000B46B8"/>
    <w:rsid w:val="000B62DE"/>
    <w:rsid w:val="000C18EB"/>
    <w:rsid w:val="000C3CF2"/>
    <w:rsid w:val="000C49EB"/>
    <w:rsid w:val="000C4BEB"/>
    <w:rsid w:val="000C623E"/>
    <w:rsid w:val="000D1396"/>
    <w:rsid w:val="000D32F9"/>
    <w:rsid w:val="000D3FFA"/>
    <w:rsid w:val="000D4C38"/>
    <w:rsid w:val="000D61BA"/>
    <w:rsid w:val="000D6623"/>
    <w:rsid w:val="000D7142"/>
    <w:rsid w:val="000D7397"/>
    <w:rsid w:val="000E06E2"/>
    <w:rsid w:val="000E0CB8"/>
    <w:rsid w:val="000E4FB5"/>
    <w:rsid w:val="000E627A"/>
    <w:rsid w:val="000F126C"/>
    <w:rsid w:val="000F1511"/>
    <w:rsid w:val="000F17D5"/>
    <w:rsid w:val="000F6B20"/>
    <w:rsid w:val="00100560"/>
    <w:rsid w:val="00101B65"/>
    <w:rsid w:val="00102BD0"/>
    <w:rsid w:val="001034E9"/>
    <w:rsid w:val="00111D8F"/>
    <w:rsid w:val="00112954"/>
    <w:rsid w:val="0011324C"/>
    <w:rsid w:val="001157D1"/>
    <w:rsid w:val="00115E89"/>
    <w:rsid w:val="00120752"/>
    <w:rsid w:val="00121DA8"/>
    <w:rsid w:val="00123F38"/>
    <w:rsid w:val="0012604C"/>
    <w:rsid w:val="00127CDF"/>
    <w:rsid w:val="00131625"/>
    <w:rsid w:val="00135D0B"/>
    <w:rsid w:val="00137367"/>
    <w:rsid w:val="0014036C"/>
    <w:rsid w:val="001436E7"/>
    <w:rsid w:val="001454E2"/>
    <w:rsid w:val="0014626B"/>
    <w:rsid w:val="001470FA"/>
    <w:rsid w:val="00147A51"/>
    <w:rsid w:val="00151AE3"/>
    <w:rsid w:val="00152EDA"/>
    <w:rsid w:val="00153B99"/>
    <w:rsid w:val="001558EE"/>
    <w:rsid w:val="00155F20"/>
    <w:rsid w:val="0015645D"/>
    <w:rsid w:val="0015703E"/>
    <w:rsid w:val="00165DE4"/>
    <w:rsid w:val="00166E3D"/>
    <w:rsid w:val="00166E71"/>
    <w:rsid w:val="00170CFD"/>
    <w:rsid w:val="001742F0"/>
    <w:rsid w:val="00175851"/>
    <w:rsid w:val="00185A2E"/>
    <w:rsid w:val="0019061B"/>
    <w:rsid w:val="00195DE4"/>
    <w:rsid w:val="00197B3D"/>
    <w:rsid w:val="001A26BF"/>
    <w:rsid w:val="001A590A"/>
    <w:rsid w:val="001B1111"/>
    <w:rsid w:val="001B3392"/>
    <w:rsid w:val="001B5249"/>
    <w:rsid w:val="001B5408"/>
    <w:rsid w:val="001C1063"/>
    <w:rsid w:val="001C1254"/>
    <w:rsid w:val="001D2F16"/>
    <w:rsid w:val="001D7601"/>
    <w:rsid w:val="001E3ABF"/>
    <w:rsid w:val="001E4F3D"/>
    <w:rsid w:val="001E5120"/>
    <w:rsid w:val="001E7E0C"/>
    <w:rsid w:val="001F3CF8"/>
    <w:rsid w:val="001F4339"/>
    <w:rsid w:val="0020526A"/>
    <w:rsid w:val="002071CF"/>
    <w:rsid w:val="00212A5A"/>
    <w:rsid w:val="00213F9F"/>
    <w:rsid w:val="00223124"/>
    <w:rsid w:val="00223F56"/>
    <w:rsid w:val="00226F66"/>
    <w:rsid w:val="0023077A"/>
    <w:rsid w:val="00233625"/>
    <w:rsid w:val="0023483A"/>
    <w:rsid w:val="00234FE4"/>
    <w:rsid w:val="00234FEF"/>
    <w:rsid w:val="00244FC1"/>
    <w:rsid w:val="0024513E"/>
    <w:rsid w:val="002467B5"/>
    <w:rsid w:val="0024739E"/>
    <w:rsid w:val="00251295"/>
    <w:rsid w:val="002514A9"/>
    <w:rsid w:val="00253074"/>
    <w:rsid w:val="0025404A"/>
    <w:rsid w:val="00254EC0"/>
    <w:rsid w:val="0025644B"/>
    <w:rsid w:val="00260640"/>
    <w:rsid w:val="002625CE"/>
    <w:rsid w:val="002646C0"/>
    <w:rsid w:val="002657BD"/>
    <w:rsid w:val="00271A58"/>
    <w:rsid w:val="00272556"/>
    <w:rsid w:val="002727D4"/>
    <w:rsid w:val="00280C86"/>
    <w:rsid w:val="00284282"/>
    <w:rsid w:val="00284F4B"/>
    <w:rsid w:val="002867C7"/>
    <w:rsid w:val="00292927"/>
    <w:rsid w:val="002A0871"/>
    <w:rsid w:val="002A49F0"/>
    <w:rsid w:val="002A5489"/>
    <w:rsid w:val="002B1748"/>
    <w:rsid w:val="002B61E7"/>
    <w:rsid w:val="002C28B8"/>
    <w:rsid w:val="002C5661"/>
    <w:rsid w:val="002C5782"/>
    <w:rsid w:val="002C5A87"/>
    <w:rsid w:val="002C6E19"/>
    <w:rsid w:val="002D66C3"/>
    <w:rsid w:val="002D7204"/>
    <w:rsid w:val="002E28F3"/>
    <w:rsid w:val="002E444E"/>
    <w:rsid w:val="002E4D8B"/>
    <w:rsid w:val="002E54A0"/>
    <w:rsid w:val="002E6418"/>
    <w:rsid w:val="002E757F"/>
    <w:rsid w:val="002F1EE7"/>
    <w:rsid w:val="002F2384"/>
    <w:rsid w:val="002F2C5C"/>
    <w:rsid w:val="002F4F28"/>
    <w:rsid w:val="002F5386"/>
    <w:rsid w:val="00301A6B"/>
    <w:rsid w:val="003046A2"/>
    <w:rsid w:val="00313386"/>
    <w:rsid w:val="003134CE"/>
    <w:rsid w:val="0031666D"/>
    <w:rsid w:val="003205A0"/>
    <w:rsid w:val="0032113E"/>
    <w:rsid w:val="00324E91"/>
    <w:rsid w:val="00326A91"/>
    <w:rsid w:val="003272AE"/>
    <w:rsid w:val="00330884"/>
    <w:rsid w:val="00334FF6"/>
    <w:rsid w:val="003358E0"/>
    <w:rsid w:val="00336FE2"/>
    <w:rsid w:val="00337CF4"/>
    <w:rsid w:val="00340F4D"/>
    <w:rsid w:val="0034203D"/>
    <w:rsid w:val="00342F4E"/>
    <w:rsid w:val="00350898"/>
    <w:rsid w:val="00350943"/>
    <w:rsid w:val="00352287"/>
    <w:rsid w:val="00353BB5"/>
    <w:rsid w:val="003564A5"/>
    <w:rsid w:val="003574EF"/>
    <w:rsid w:val="00361E7D"/>
    <w:rsid w:val="00363369"/>
    <w:rsid w:val="003656CD"/>
    <w:rsid w:val="003721CA"/>
    <w:rsid w:val="003738FC"/>
    <w:rsid w:val="00373C70"/>
    <w:rsid w:val="00373EBE"/>
    <w:rsid w:val="00374FAB"/>
    <w:rsid w:val="00380629"/>
    <w:rsid w:val="003813DC"/>
    <w:rsid w:val="00381B37"/>
    <w:rsid w:val="0038254C"/>
    <w:rsid w:val="003826AC"/>
    <w:rsid w:val="003874C8"/>
    <w:rsid w:val="0039307F"/>
    <w:rsid w:val="00393631"/>
    <w:rsid w:val="00393932"/>
    <w:rsid w:val="00393D7E"/>
    <w:rsid w:val="00393E09"/>
    <w:rsid w:val="00397E62"/>
    <w:rsid w:val="003A1FE2"/>
    <w:rsid w:val="003A3B9E"/>
    <w:rsid w:val="003A430E"/>
    <w:rsid w:val="003A432B"/>
    <w:rsid w:val="003A595E"/>
    <w:rsid w:val="003A6C64"/>
    <w:rsid w:val="003A6FE0"/>
    <w:rsid w:val="003A75D5"/>
    <w:rsid w:val="003B0656"/>
    <w:rsid w:val="003B0ACD"/>
    <w:rsid w:val="003B10FD"/>
    <w:rsid w:val="003B3B9C"/>
    <w:rsid w:val="003C15AD"/>
    <w:rsid w:val="003C26FE"/>
    <w:rsid w:val="003C4222"/>
    <w:rsid w:val="003C4A97"/>
    <w:rsid w:val="003C7851"/>
    <w:rsid w:val="003D0B99"/>
    <w:rsid w:val="003D23AD"/>
    <w:rsid w:val="003D2CD7"/>
    <w:rsid w:val="003D337F"/>
    <w:rsid w:val="003D5A5C"/>
    <w:rsid w:val="003E3EDA"/>
    <w:rsid w:val="003F454D"/>
    <w:rsid w:val="003F4CF1"/>
    <w:rsid w:val="003F50F9"/>
    <w:rsid w:val="003F753A"/>
    <w:rsid w:val="003F7977"/>
    <w:rsid w:val="003F7B2C"/>
    <w:rsid w:val="00400160"/>
    <w:rsid w:val="00400A95"/>
    <w:rsid w:val="004018D5"/>
    <w:rsid w:val="0040533D"/>
    <w:rsid w:val="0040569E"/>
    <w:rsid w:val="00414FC1"/>
    <w:rsid w:val="0041676D"/>
    <w:rsid w:val="004212CB"/>
    <w:rsid w:val="004231C1"/>
    <w:rsid w:val="00427405"/>
    <w:rsid w:val="00427CF4"/>
    <w:rsid w:val="00430A1F"/>
    <w:rsid w:val="004336AD"/>
    <w:rsid w:val="00434E6D"/>
    <w:rsid w:val="00435896"/>
    <w:rsid w:val="0043684A"/>
    <w:rsid w:val="00444E25"/>
    <w:rsid w:val="00445E2F"/>
    <w:rsid w:val="0045010A"/>
    <w:rsid w:val="004520BE"/>
    <w:rsid w:val="0045326A"/>
    <w:rsid w:val="004532AC"/>
    <w:rsid w:val="00455C1E"/>
    <w:rsid w:val="00457368"/>
    <w:rsid w:val="00457A20"/>
    <w:rsid w:val="004602C3"/>
    <w:rsid w:val="004605B7"/>
    <w:rsid w:val="00463163"/>
    <w:rsid w:val="0047163B"/>
    <w:rsid w:val="00472AEC"/>
    <w:rsid w:val="00473256"/>
    <w:rsid w:val="00473BAB"/>
    <w:rsid w:val="00475DAC"/>
    <w:rsid w:val="0047710D"/>
    <w:rsid w:val="00482097"/>
    <w:rsid w:val="00482B2B"/>
    <w:rsid w:val="00483E21"/>
    <w:rsid w:val="00484454"/>
    <w:rsid w:val="00485A5D"/>
    <w:rsid w:val="0048613E"/>
    <w:rsid w:val="00486C7D"/>
    <w:rsid w:val="00491A81"/>
    <w:rsid w:val="00493267"/>
    <w:rsid w:val="004A1BAC"/>
    <w:rsid w:val="004A2B98"/>
    <w:rsid w:val="004A6C25"/>
    <w:rsid w:val="004A7ACF"/>
    <w:rsid w:val="004B305C"/>
    <w:rsid w:val="004B718B"/>
    <w:rsid w:val="004C5FA4"/>
    <w:rsid w:val="004D2866"/>
    <w:rsid w:val="004E029A"/>
    <w:rsid w:val="004E4341"/>
    <w:rsid w:val="004F2195"/>
    <w:rsid w:val="004F6A9B"/>
    <w:rsid w:val="004F7506"/>
    <w:rsid w:val="00500BFE"/>
    <w:rsid w:val="0050145D"/>
    <w:rsid w:val="00504615"/>
    <w:rsid w:val="005062B6"/>
    <w:rsid w:val="00507DD7"/>
    <w:rsid w:val="00511A72"/>
    <w:rsid w:val="005133BA"/>
    <w:rsid w:val="0051532A"/>
    <w:rsid w:val="0051532C"/>
    <w:rsid w:val="005157C3"/>
    <w:rsid w:val="00516AB7"/>
    <w:rsid w:val="00516AF6"/>
    <w:rsid w:val="0052554C"/>
    <w:rsid w:val="00527C37"/>
    <w:rsid w:val="005309A6"/>
    <w:rsid w:val="0053362B"/>
    <w:rsid w:val="00534041"/>
    <w:rsid w:val="0053531E"/>
    <w:rsid w:val="005353A6"/>
    <w:rsid w:val="00535F18"/>
    <w:rsid w:val="00542E61"/>
    <w:rsid w:val="00544FF9"/>
    <w:rsid w:val="0054751D"/>
    <w:rsid w:val="005500BC"/>
    <w:rsid w:val="00553892"/>
    <w:rsid w:val="00561FB3"/>
    <w:rsid w:val="00563A92"/>
    <w:rsid w:val="00566341"/>
    <w:rsid w:val="00572D31"/>
    <w:rsid w:val="0058052A"/>
    <w:rsid w:val="005834B8"/>
    <w:rsid w:val="00585379"/>
    <w:rsid w:val="00587B57"/>
    <w:rsid w:val="005924B9"/>
    <w:rsid w:val="005941EF"/>
    <w:rsid w:val="00594AED"/>
    <w:rsid w:val="00594E81"/>
    <w:rsid w:val="00596C67"/>
    <w:rsid w:val="005A00EF"/>
    <w:rsid w:val="005A060C"/>
    <w:rsid w:val="005A432F"/>
    <w:rsid w:val="005A62FA"/>
    <w:rsid w:val="005A699F"/>
    <w:rsid w:val="005B0083"/>
    <w:rsid w:val="005B09F4"/>
    <w:rsid w:val="005B1BD5"/>
    <w:rsid w:val="005B2B24"/>
    <w:rsid w:val="005B3DA3"/>
    <w:rsid w:val="005B6E91"/>
    <w:rsid w:val="005C2C2E"/>
    <w:rsid w:val="005C6786"/>
    <w:rsid w:val="005C67FD"/>
    <w:rsid w:val="005D16AA"/>
    <w:rsid w:val="005D1BD4"/>
    <w:rsid w:val="005D42B7"/>
    <w:rsid w:val="005D77F0"/>
    <w:rsid w:val="005E0684"/>
    <w:rsid w:val="005E18D2"/>
    <w:rsid w:val="005E6153"/>
    <w:rsid w:val="005F2B5C"/>
    <w:rsid w:val="005F34ED"/>
    <w:rsid w:val="005F540E"/>
    <w:rsid w:val="005F6D67"/>
    <w:rsid w:val="006005F5"/>
    <w:rsid w:val="0060278B"/>
    <w:rsid w:val="00602902"/>
    <w:rsid w:val="0060492C"/>
    <w:rsid w:val="0061014B"/>
    <w:rsid w:val="00614E6A"/>
    <w:rsid w:val="00627EA4"/>
    <w:rsid w:val="006325E6"/>
    <w:rsid w:val="0063275F"/>
    <w:rsid w:val="006432F8"/>
    <w:rsid w:val="00644C0A"/>
    <w:rsid w:val="0064692B"/>
    <w:rsid w:val="006500A3"/>
    <w:rsid w:val="00651994"/>
    <w:rsid w:val="00651F8F"/>
    <w:rsid w:val="00652535"/>
    <w:rsid w:val="00653A7F"/>
    <w:rsid w:val="00654D43"/>
    <w:rsid w:val="006566B2"/>
    <w:rsid w:val="00661252"/>
    <w:rsid w:val="006656A1"/>
    <w:rsid w:val="006672D7"/>
    <w:rsid w:val="00671403"/>
    <w:rsid w:val="00672937"/>
    <w:rsid w:val="00676620"/>
    <w:rsid w:val="006774E0"/>
    <w:rsid w:val="00677A2C"/>
    <w:rsid w:val="00681A47"/>
    <w:rsid w:val="00681E43"/>
    <w:rsid w:val="00691BF4"/>
    <w:rsid w:val="00691DF8"/>
    <w:rsid w:val="00693663"/>
    <w:rsid w:val="006A19A7"/>
    <w:rsid w:val="006A3941"/>
    <w:rsid w:val="006B4773"/>
    <w:rsid w:val="006B4933"/>
    <w:rsid w:val="006B7F84"/>
    <w:rsid w:val="006C0C58"/>
    <w:rsid w:val="006C360D"/>
    <w:rsid w:val="006C506F"/>
    <w:rsid w:val="006C6E3F"/>
    <w:rsid w:val="006D347B"/>
    <w:rsid w:val="006D72E1"/>
    <w:rsid w:val="006E27BA"/>
    <w:rsid w:val="006E327E"/>
    <w:rsid w:val="006E3C3D"/>
    <w:rsid w:val="006E5410"/>
    <w:rsid w:val="006E5594"/>
    <w:rsid w:val="006E65A4"/>
    <w:rsid w:val="006F100B"/>
    <w:rsid w:val="00700333"/>
    <w:rsid w:val="007062C0"/>
    <w:rsid w:val="00711DFA"/>
    <w:rsid w:val="0071456D"/>
    <w:rsid w:val="00717664"/>
    <w:rsid w:val="00721312"/>
    <w:rsid w:val="00722734"/>
    <w:rsid w:val="0072320B"/>
    <w:rsid w:val="007256C6"/>
    <w:rsid w:val="0072570E"/>
    <w:rsid w:val="00726F1F"/>
    <w:rsid w:val="007320AC"/>
    <w:rsid w:val="0073260E"/>
    <w:rsid w:val="00733199"/>
    <w:rsid w:val="007365B5"/>
    <w:rsid w:val="00736BC1"/>
    <w:rsid w:val="007379BF"/>
    <w:rsid w:val="00741E4F"/>
    <w:rsid w:val="00742CF2"/>
    <w:rsid w:val="007431F4"/>
    <w:rsid w:val="0074344D"/>
    <w:rsid w:val="00751F9C"/>
    <w:rsid w:val="007575B9"/>
    <w:rsid w:val="007619D9"/>
    <w:rsid w:val="00761B28"/>
    <w:rsid w:val="00761CFA"/>
    <w:rsid w:val="007624FB"/>
    <w:rsid w:val="00762864"/>
    <w:rsid w:val="0076301A"/>
    <w:rsid w:val="007656E4"/>
    <w:rsid w:val="007658D0"/>
    <w:rsid w:val="007710B7"/>
    <w:rsid w:val="00772F5F"/>
    <w:rsid w:val="00773DD1"/>
    <w:rsid w:val="0077505F"/>
    <w:rsid w:val="007769C0"/>
    <w:rsid w:val="007816B4"/>
    <w:rsid w:val="007826BE"/>
    <w:rsid w:val="00786BE7"/>
    <w:rsid w:val="00787B72"/>
    <w:rsid w:val="00787CFF"/>
    <w:rsid w:val="0079061D"/>
    <w:rsid w:val="00794774"/>
    <w:rsid w:val="007955FE"/>
    <w:rsid w:val="007A08F1"/>
    <w:rsid w:val="007A0F3E"/>
    <w:rsid w:val="007B0125"/>
    <w:rsid w:val="007B062B"/>
    <w:rsid w:val="007B094D"/>
    <w:rsid w:val="007B280E"/>
    <w:rsid w:val="007B345D"/>
    <w:rsid w:val="007B565E"/>
    <w:rsid w:val="007C6C04"/>
    <w:rsid w:val="007C761B"/>
    <w:rsid w:val="007C7F3B"/>
    <w:rsid w:val="007D0AD8"/>
    <w:rsid w:val="007D2607"/>
    <w:rsid w:val="007D5358"/>
    <w:rsid w:val="007E07B9"/>
    <w:rsid w:val="007E1A56"/>
    <w:rsid w:val="007E3119"/>
    <w:rsid w:val="007E73D7"/>
    <w:rsid w:val="007E785E"/>
    <w:rsid w:val="007F0277"/>
    <w:rsid w:val="007F2D2A"/>
    <w:rsid w:val="007F4553"/>
    <w:rsid w:val="008004A2"/>
    <w:rsid w:val="008009E8"/>
    <w:rsid w:val="00806E9F"/>
    <w:rsid w:val="00807EBB"/>
    <w:rsid w:val="0081412A"/>
    <w:rsid w:val="00824467"/>
    <w:rsid w:val="00826B1F"/>
    <w:rsid w:val="008320BD"/>
    <w:rsid w:val="00832951"/>
    <w:rsid w:val="00834BFE"/>
    <w:rsid w:val="00836360"/>
    <w:rsid w:val="0084276A"/>
    <w:rsid w:val="008435EF"/>
    <w:rsid w:val="00850BC1"/>
    <w:rsid w:val="008542C9"/>
    <w:rsid w:val="008542EE"/>
    <w:rsid w:val="008556C6"/>
    <w:rsid w:val="008570A2"/>
    <w:rsid w:val="00860572"/>
    <w:rsid w:val="00862EB7"/>
    <w:rsid w:val="008647B5"/>
    <w:rsid w:val="008716BB"/>
    <w:rsid w:val="0087172A"/>
    <w:rsid w:val="00873F31"/>
    <w:rsid w:val="008748CC"/>
    <w:rsid w:val="008773A9"/>
    <w:rsid w:val="00885C5D"/>
    <w:rsid w:val="00885CB5"/>
    <w:rsid w:val="00885EEE"/>
    <w:rsid w:val="00890EE5"/>
    <w:rsid w:val="0089364B"/>
    <w:rsid w:val="008947F9"/>
    <w:rsid w:val="00895D40"/>
    <w:rsid w:val="008A69F5"/>
    <w:rsid w:val="008A6F11"/>
    <w:rsid w:val="008A77D1"/>
    <w:rsid w:val="008B472E"/>
    <w:rsid w:val="008B5417"/>
    <w:rsid w:val="008B5D5D"/>
    <w:rsid w:val="008B6C80"/>
    <w:rsid w:val="008C015D"/>
    <w:rsid w:val="008C3D53"/>
    <w:rsid w:val="008C4D0D"/>
    <w:rsid w:val="008D05F0"/>
    <w:rsid w:val="008D18AE"/>
    <w:rsid w:val="008D1A97"/>
    <w:rsid w:val="008D3437"/>
    <w:rsid w:val="008D38E8"/>
    <w:rsid w:val="008D4622"/>
    <w:rsid w:val="008D5908"/>
    <w:rsid w:val="008D65BA"/>
    <w:rsid w:val="008E209B"/>
    <w:rsid w:val="008E2C00"/>
    <w:rsid w:val="008E3CD5"/>
    <w:rsid w:val="008E6144"/>
    <w:rsid w:val="008F0013"/>
    <w:rsid w:val="008F0CAC"/>
    <w:rsid w:val="008F2BEC"/>
    <w:rsid w:val="008F2FFC"/>
    <w:rsid w:val="008F3C4C"/>
    <w:rsid w:val="008F3FC3"/>
    <w:rsid w:val="008F4B74"/>
    <w:rsid w:val="008F4DF7"/>
    <w:rsid w:val="008F4E9B"/>
    <w:rsid w:val="008F55CF"/>
    <w:rsid w:val="008F5CA6"/>
    <w:rsid w:val="008F6587"/>
    <w:rsid w:val="008F68CC"/>
    <w:rsid w:val="008F79AA"/>
    <w:rsid w:val="009001A5"/>
    <w:rsid w:val="00901E83"/>
    <w:rsid w:val="00902355"/>
    <w:rsid w:val="00902611"/>
    <w:rsid w:val="00902D99"/>
    <w:rsid w:val="00902EE8"/>
    <w:rsid w:val="00903CF1"/>
    <w:rsid w:val="009102ED"/>
    <w:rsid w:val="00911AD9"/>
    <w:rsid w:val="00913119"/>
    <w:rsid w:val="009137E4"/>
    <w:rsid w:val="009150A4"/>
    <w:rsid w:val="00915519"/>
    <w:rsid w:val="0091599F"/>
    <w:rsid w:val="0091788D"/>
    <w:rsid w:val="0092006C"/>
    <w:rsid w:val="0092135A"/>
    <w:rsid w:val="00921971"/>
    <w:rsid w:val="009274C7"/>
    <w:rsid w:val="009277F7"/>
    <w:rsid w:val="00933CAE"/>
    <w:rsid w:val="009373B7"/>
    <w:rsid w:val="0094045E"/>
    <w:rsid w:val="00941206"/>
    <w:rsid w:val="00941F57"/>
    <w:rsid w:val="00943857"/>
    <w:rsid w:val="00945BF8"/>
    <w:rsid w:val="009504E9"/>
    <w:rsid w:val="00950A8C"/>
    <w:rsid w:val="00953DB8"/>
    <w:rsid w:val="009552BB"/>
    <w:rsid w:val="00963B56"/>
    <w:rsid w:val="00966368"/>
    <w:rsid w:val="00967937"/>
    <w:rsid w:val="009707B5"/>
    <w:rsid w:val="00975736"/>
    <w:rsid w:val="00975BA8"/>
    <w:rsid w:val="00977F78"/>
    <w:rsid w:val="00981BAA"/>
    <w:rsid w:val="009820AD"/>
    <w:rsid w:val="009836DA"/>
    <w:rsid w:val="00984135"/>
    <w:rsid w:val="00990BD8"/>
    <w:rsid w:val="00990E6A"/>
    <w:rsid w:val="0099159C"/>
    <w:rsid w:val="00995579"/>
    <w:rsid w:val="009A214E"/>
    <w:rsid w:val="009A5423"/>
    <w:rsid w:val="009B2DBF"/>
    <w:rsid w:val="009C1D56"/>
    <w:rsid w:val="009C27E8"/>
    <w:rsid w:val="009C3823"/>
    <w:rsid w:val="009C6047"/>
    <w:rsid w:val="009C6C15"/>
    <w:rsid w:val="009C797C"/>
    <w:rsid w:val="009D1E15"/>
    <w:rsid w:val="009D1E1C"/>
    <w:rsid w:val="009D7398"/>
    <w:rsid w:val="009E3662"/>
    <w:rsid w:val="009E37F5"/>
    <w:rsid w:val="009E7434"/>
    <w:rsid w:val="009F769E"/>
    <w:rsid w:val="009F7AE5"/>
    <w:rsid w:val="00A00F02"/>
    <w:rsid w:val="00A024A1"/>
    <w:rsid w:val="00A02678"/>
    <w:rsid w:val="00A031EC"/>
    <w:rsid w:val="00A04989"/>
    <w:rsid w:val="00A05EC0"/>
    <w:rsid w:val="00A062F3"/>
    <w:rsid w:val="00A10B24"/>
    <w:rsid w:val="00A11DA0"/>
    <w:rsid w:val="00A147A4"/>
    <w:rsid w:val="00A1514F"/>
    <w:rsid w:val="00A172EF"/>
    <w:rsid w:val="00A23345"/>
    <w:rsid w:val="00A267DE"/>
    <w:rsid w:val="00A26D1D"/>
    <w:rsid w:val="00A27F3D"/>
    <w:rsid w:val="00A34E6E"/>
    <w:rsid w:val="00A35C38"/>
    <w:rsid w:val="00A37436"/>
    <w:rsid w:val="00A41BC1"/>
    <w:rsid w:val="00A421C7"/>
    <w:rsid w:val="00A4558F"/>
    <w:rsid w:val="00A4759C"/>
    <w:rsid w:val="00A47D71"/>
    <w:rsid w:val="00A5263A"/>
    <w:rsid w:val="00A54E5F"/>
    <w:rsid w:val="00A55229"/>
    <w:rsid w:val="00A55399"/>
    <w:rsid w:val="00A55578"/>
    <w:rsid w:val="00A600D0"/>
    <w:rsid w:val="00A6444B"/>
    <w:rsid w:val="00A6649B"/>
    <w:rsid w:val="00A7010D"/>
    <w:rsid w:val="00A7093C"/>
    <w:rsid w:val="00A7117F"/>
    <w:rsid w:val="00A71F1A"/>
    <w:rsid w:val="00A72B98"/>
    <w:rsid w:val="00A738FB"/>
    <w:rsid w:val="00A75D89"/>
    <w:rsid w:val="00A775BE"/>
    <w:rsid w:val="00A844BB"/>
    <w:rsid w:val="00A844E7"/>
    <w:rsid w:val="00A85AFF"/>
    <w:rsid w:val="00A87D44"/>
    <w:rsid w:val="00A9202D"/>
    <w:rsid w:val="00A9264A"/>
    <w:rsid w:val="00A927DF"/>
    <w:rsid w:val="00A92C7A"/>
    <w:rsid w:val="00A95DB0"/>
    <w:rsid w:val="00A97699"/>
    <w:rsid w:val="00AA18D4"/>
    <w:rsid w:val="00AA676B"/>
    <w:rsid w:val="00AB2841"/>
    <w:rsid w:val="00AB4101"/>
    <w:rsid w:val="00AC1253"/>
    <w:rsid w:val="00AC309A"/>
    <w:rsid w:val="00AC37F6"/>
    <w:rsid w:val="00AC4668"/>
    <w:rsid w:val="00AC535A"/>
    <w:rsid w:val="00AC536C"/>
    <w:rsid w:val="00AC71C6"/>
    <w:rsid w:val="00AC73A6"/>
    <w:rsid w:val="00AC753C"/>
    <w:rsid w:val="00AD017B"/>
    <w:rsid w:val="00AD16FC"/>
    <w:rsid w:val="00AD284D"/>
    <w:rsid w:val="00AD4F21"/>
    <w:rsid w:val="00AD5459"/>
    <w:rsid w:val="00AD67E6"/>
    <w:rsid w:val="00AD6F8E"/>
    <w:rsid w:val="00AE346E"/>
    <w:rsid w:val="00AE735E"/>
    <w:rsid w:val="00AF12B5"/>
    <w:rsid w:val="00AF3BB3"/>
    <w:rsid w:val="00AF43E7"/>
    <w:rsid w:val="00AF7621"/>
    <w:rsid w:val="00AF7AB8"/>
    <w:rsid w:val="00B015E2"/>
    <w:rsid w:val="00B05CDB"/>
    <w:rsid w:val="00B06F40"/>
    <w:rsid w:val="00B100C1"/>
    <w:rsid w:val="00B10F71"/>
    <w:rsid w:val="00B133E2"/>
    <w:rsid w:val="00B148AD"/>
    <w:rsid w:val="00B15E2B"/>
    <w:rsid w:val="00B16FE8"/>
    <w:rsid w:val="00B262CE"/>
    <w:rsid w:val="00B270EF"/>
    <w:rsid w:val="00B27C44"/>
    <w:rsid w:val="00B30FE0"/>
    <w:rsid w:val="00B326DF"/>
    <w:rsid w:val="00B345FE"/>
    <w:rsid w:val="00B346CE"/>
    <w:rsid w:val="00B37297"/>
    <w:rsid w:val="00B42240"/>
    <w:rsid w:val="00B452CE"/>
    <w:rsid w:val="00B457E8"/>
    <w:rsid w:val="00B474C9"/>
    <w:rsid w:val="00B51015"/>
    <w:rsid w:val="00B53732"/>
    <w:rsid w:val="00B5434B"/>
    <w:rsid w:val="00B54958"/>
    <w:rsid w:val="00B56E21"/>
    <w:rsid w:val="00B572FE"/>
    <w:rsid w:val="00B60C27"/>
    <w:rsid w:val="00B6237F"/>
    <w:rsid w:val="00B624CD"/>
    <w:rsid w:val="00B62DD8"/>
    <w:rsid w:val="00B6310C"/>
    <w:rsid w:val="00B63A52"/>
    <w:rsid w:val="00B63AD0"/>
    <w:rsid w:val="00B64227"/>
    <w:rsid w:val="00B64677"/>
    <w:rsid w:val="00B65A8D"/>
    <w:rsid w:val="00B65EF9"/>
    <w:rsid w:val="00B662BE"/>
    <w:rsid w:val="00B669D8"/>
    <w:rsid w:val="00B70A06"/>
    <w:rsid w:val="00B7329F"/>
    <w:rsid w:val="00B7373E"/>
    <w:rsid w:val="00B73F48"/>
    <w:rsid w:val="00B80F47"/>
    <w:rsid w:val="00B8157F"/>
    <w:rsid w:val="00B821F9"/>
    <w:rsid w:val="00B86CB4"/>
    <w:rsid w:val="00B86D94"/>
    <w:rsid w:val="00B90193"/>
    <w:rsid w:val="00B90564"/>
    <w:rsid w:val="00B93505"/>
    <w:rsid w:val="00B95C1C"/>
    <w:rsid w:val="00B96354"/>
    <w:rsid w:val="00BA22FC"/>
    <w:rsid w:val="00BA3927"/>
    <w:rsid w:val="00BA4C8E"/>
    <w:rsid w:val="00BB2E9C"/>
    <w:rsid w:val="00BC0B49"/>
    <w:rsid w:val="00BC1832"/>
    <w:rsid w:val="00BC1FCB"/>
    <w:rsid w:val="00BC402B"/>
    <w:rsid w:val="00BC4455"/>
    <w:rsid w:val="00BD1C28"/>
    <w:rsid w:val="00BD69C5"/>
    <w:rsid w:val="00BE1697"/>
    <w:rsid w:val="00BF0AD7"/>
    <w:rsid w:val="00BF4907"/>
    <w:rsid w:val="00BF6769"/>
    <w:rsid w:val="00C00C77"/>
    <w:rsid w:val="00C014A7"/>
    <w:rsid w:val="00C03144"/>
    <w:rsid w:val="00C03D14"/>
    <w:rsid w:val="00C0571A"/>
    <w:rsid w:val="00C058F6"/>
    <w:rsid w:val="00C06ABF"/>
    <w:rsid w:val="00C1138F"/>
    <w:rsid w:val="00C12522"/>
    <w:rsid w:val="00C135C7"/>
    <w:rsid w:val="00C1501A"/>
    <w:rsid w:val="00C1663E"/>
    <w:rsid w:val="00C20DCE"/>
    <w:rsid w:val="00C2132C"/>
    <w:rsid w:val="00C215FC"/>
    <w:rsid w:val="00C22E1E"/>
    <w:rsid w:val="00C2651D"/>
    <w:rsid w:val="00C319FC"/>
    <w:rsid w:val="00C376CE"/>
    <w:rsid w:val="00C37793"/>
    <w:rsid w:val="00C377FD"/>
    <w:rsid w:val="00C40326"/>
    <w:rsid w:val="00C41183"/>
    <w:rsid w:val="00C4183B"/>
    <w:rsid w:val="00C42199"/>
    <w:rsid w:val="00C4276F"/>
    <w:rsid w:val="00C433C8"/>
    <w:rsid w:val="00C46F51"/>
    <w:rsid w:val="00C50F90"/>
    <w:rsid w:val="00C523A8"/>
    <w:rsid w:val="00C53277"/>
    <w:rsid w:val="00C54051"/>
    <w:rsid w:val="00C54EBB"/>
    <w:rsid w:val="00C55134"/>
    <w:rsid w:val="00C55A4C"/>
    <w:rsid w:val="00C572FB"/>
    <w:rsid w:val="00C607B1"/>
    <w:rsid w:val="00C60C9C"/>
    <w:rsid w:val="00C65709"/>
    <w:rsid w:val="00C705B4"/>
    <w:rsid w:val="00C710C3"/>
    <w:rsid w:val="00C72CE9"/>
    <w:rsid w:val="00C80BE2"/>
    <w:rsid w:val="00C85355"/>
    <w:rsid w:val="00C85A51"/>
    <w:rsid w:val="00C86106"/>
    <w:rsid w:val="00CA142E"/>
    <w:rsid w:val="00CA436B"/>
    <w:rsid w:val="00CA6C53"/>
    <w:rsid w:val="00CA7288"/>
    <w:rsid w:val="00CA7A71"/>
    <w:rsid w:val="00CB17A7"/>
    <w:rsid w:val="00CB1CF4"/>
    <w:rsid w:val="00CB2F4B"/>
    <w:rsid w:val="00CB64A0"/>
    <w:rsid w:val="00CB65FD"/>
    <w:rsid w:val="00CB6DDC"/>
    <w:rsid w:val="00CC4B93"/>
    <w:rsid w:val="00CC4ED7"/>
    <w:rsid w:val="00CC6D6E"/>
    <w:rsid w:val="00CC7F97"/>
    <w:rsid w:val="00CD05C9"/>
    <w:rsid w:val="00CD1B95"/>
    <w:rsid w:val="00CD2249"/>
    <w:rsid w:val="00CD4721"/>
    <w:rsid w:val="00CE4DF1"/>
    <w:rsid w:val="00CF18DC"/>
    <w:rsid w:val="00CF3EC6"/>
    <w:rsid w:val="00CF4AF5"/>
    <w:rsid w:val="00CF4E73"/>
    <w:rsid w:val="00CF6071"/>
    <w:rsid w:val="00CF726A"/>
    <w:rsid w:val="00CF7553"/>
    <w:rsid w:val="00CF79D7"/>
    <w:rsid w:val="00D00F27"/>
    <w:rsid w:val="00D01751"/>
    <w:rsid w:val="00D02F90"/>
    <w:rsid w:val="00D04828"/>
    <w:rsid w:val="00D056CF"/>
    <w:rsid w:val="00D05A4B"/>
    <w:rsid w:val="00D05CD0"/>
    <w:rsid w:val="00D078B2"/>
    <w:rsid w:val="00D11043"/>
    <w:rsid w:val="00D16EBC"/>
    <w:rsid w:val="00D172EC"/>
    <w:rsid w:val="00D20D34"/>
    <w:rsid w:val="00D21008"/>
    <w:rsid w:val="00D23D3F"/>
    <w:rsid w:val="00D311DC"/>
    <w:rsid w:val="00D31D4C"/>
    <w:rsid w:val="00D33A19"/>
    <w:rsid w:val="00D3407D"/>
    <w:rsid w:val="00D348CD"/>
    <w:rsid w:val="00D34B1A"/>
    <w:rsid w:val="00D34C12"/>
    <w:rsid w:val="00D358A6"/>
    <w:rsid w:val="00D362DF"/>
    <w:rsid w:val="00D36D9D"/>
    <w:rsid w:val="00D37C29"/>
    <w:rsid w:val="00D45C15"/>
    <w:rsid w:val="00D47593"/>
    <w:rsid w:val="00D51D03"/>
    <w:rsid w:val="00D562CF"/>
    <w:rsid w:val="00D60000"/>
    <w:rsid w:val="00D61E21"/>
    <w:rsid w:val="00D621B3"/>
    <w:rsid w:val="00D67E75"/>
    <w:rsid w:val="00D727B6"/>
    <w:rsid w:val="00D72A3B"/>
    <w:rsid w:val="00D7328C"/>
    <w:rsid w:val="00D744AB"/>
    <w:rsid w:val="00D74AEB"/>
    <w:rsid w:val="00D832BB"/>
    <w:rsid w:val="00D85243"/>
    <w:rsid w:val="00D8584D"/>
    <w:rsid w:val="00D92C2A"/>
    <w:rsid w:val="00D94137"/>
    <w:rsid w:val="00D95FE0"/>
    <w:rsid w:val="00D96390"/>
    <w:rsid w:val="00DA21B7"/>
    <w:rsid w:val="00DA33FA"/>
    <w:rsid w:val="00DA35A7"/>
    <w:rsid w:val="00DA4855"/>
    <w:rsid w:val="00DA4D2C"/>
    <w:rsid w:val="00DA71F3"/>
    <w:rsid w:val="00DB1CED"/>
    <w:rsid w:val="00DB295B"/>
    <w:rsid w:val="00DB395A"/>
    <w:rsid w:val="00DB704D"/>
    <w:rsid w:val="00DC1C83"/>
    <w:rsid w:val="00DC2D7D"/>
    <w:rsid w:val="00DC3487"/>
    <w:rsid w:val="00DC6D1E"/>
    <w:rsid w:val="00DD06D8"/>
    <w:rsid w:val="00DD1B1F"/>
    <w:rsid w:val="00DD25DE"/>
    <w:rsid w:val="00DD2C1A"/>
    <w:rsid w:val="00DD364E"/>
    <w:rsid w:val="00DD3CC5"/>
    <w:rsid w:val="00DD439F"/>
    <w:rsid w:val="00DD4A3F"/>
    <w:rsid w:val="00DD529D"/>
    <w:rsid w:val="00DE1576"/>
    <w:rsid w:val="00DE1E8D"/>
    <w:rsid w:val="00DE6633"/>
    <w:rsid w:val="00DF1ACC"/>
    <w:rsid w:val="00DF3B0F"/>
    <w:rsid w:val="00DF6133"/>
    <w:rsid w:val="00E00CF7"/>
    <w:rsid w:val="00E02EBC"/>
    <w:rsid w:val="00E04326"/>
    <w:rsid w:val="00E06323"/>
    <w:rsid w:val="00E077D1"/>
    <w:rsid w:val="00E07B8F"/>
    <w:rsid w:val="00E07DA1"/>
    <w:rsid w:val="00E11A44"/>
    <w:rsid w:val="00E12F02"/>
    <w:rsid w:val="00E15DE2"/>
    <w:rsid w:val="00E23346"/>
    <w:rsid w:val="00E3467E"/>
    <w:rsid w:val="00E35082"/>
    <w:rsid w:val="00E37951"/>
    <w:rsid w:val="00E3797D"/>
    <w:rsid w:val="00E40862"/>
    <w:rsid w:val="00E412C7"/>
    <w:rsid w:val="00E4167B"/>
    <w:rsid w:val="00E533C1"/>
    <w:rsid w:val="00E53A2C"/>
    <w:rsid w:val="00E545F8"/>
    <w:rsid w:val="00E5685E"/>
    <w:rsid w:val="00E6565F"/>
    <w:rsid w:val="00E667B9"/>
    <w:rsid w:val="00E674B2"/>
    <w:rsid w:val="00E70B25"/>
    <w:rsid w:val="00E72039"/>
    <w:rsid w:val="00E776AD"/>
    <w:rsid w:val="00E819BF"/>
    <w:rsid w:val="00E87A02"/>
    <w:rsid w:val="00E91C55"/>
    <w:rsid w:val="00E92641"/>
    <w:rsid w:val="00E928DA"/>
    <w:rsid w:val="00E930C1"/>
    <w:rsid w:val="00E94297"/>
    <w:rsid w:val="00E95BE0"/>
    <w:rsid w:val="00E96FAC"/>
    <w:rsid w:val="00E9714F"/>
    <w:rsid w:val="00E97D27"/>
    <w:rsid w:val="00EA03D2"/>
    <w:rsid w:val="00EA3321"/>
    <w:rsid w:val="00EA40AE"/>
    <w:rsid w:val="00EA6852"/>
    <w:rsid w:val="00EA7535"/>
    <w:rsid w:val="00EA7AC1"/>
    <w:rsid w:val="00EB1EFE"/>
    <w:rsid w:val="00EB2BF0"/>
    <w:rsid w:val="00EB5B16"/>
    <w:rsid w:val="00EB7981"/>
    <w:rsid w:val="00EC201C"/>
    <w:rsid w:val="00EC6B1D"/>
    <w:rsid w:val="00ED6229"/>
    <w:rsid w:val="00ED7E38"/>
    <w:rsid w:val="00EE0043"/>
    <w:rsid w:val="00EE08D8"/>
    <w:rsid w:val="00EE172B"/>
    <w:rsid w:val="00EE192B"/>
    <w:rsid w:val="00EF2E46"/>
    <w:rsid w:val="00EF6C21"/>
    <w:rsid w:val="00EF755F"/>
    <w:rsid w:val="00F01F27"/>
    <w:rsid w:val="00F0436C"/>
    <w:rsid w:val="00F11989"/>
    <w:rsid w:val="00F11CD5"/>
    <w:rsid w:val="00F12D76"/>
    <w:rsid w:val="00F16005"/>
    <w:rsid w:val="00F224B7"/>
    <w:rsid w:val="00F3022D"/>
    <w:rsid w:val="00F303EC"/>
    <w:rsid w:val="00F306C5"/>
    <w:rsid w:val="00F30AED"/>
    <w:rsid w:val="00F32C09"/>
    <w:rsid w:val="00F3401F"/>
    <w:rsid w:val="00F376F2"/>
    <w:rsid w:val="00F3787D"/>
    <w:rsid w:val="00F4065F"/>
    <w:rsid w:val="00F41597"/>
    <w:rsid w:val="00F41714"/>
    <w:rsid w:val="00F43D58"/>
    <w:rsid w:val="00F458D0"/>
    <w:rsid w:val="00F45CD1"/>
    <w:rsid w:val="00F56F3F"/>
    <w:rsid w:val="00F614AF"/>
    <w:rsid w:val="00F6189F"/>
    <w:rsid w:val="00F64446"/>
    <w:rsid w:val="00F64490"/>
    <w:rsid w:val="00F722F9"/>
    <w:rsid w:val="00F73948"/>
    <w:rsid w:val="00F76897"/>
    <w:rsid w:val="00F76ACE"/>
    <w:rsid w:val="00F775C4"/>
    <w:rsid w:val="00F8269E"/>
    <w:rsid w:val="00F82FCC"/>
    <w:rsid w:val="00F86525"/>
    <w:rsid w:val="00F86635"/>
    <w:rsid w:val="00F86F74"/>
    <w:rsid w:val="00F87050"/>
    <w:rsid w:val="00F8706E"/>
    <w:rsid w:val="00F9169A"/>
    <w:rsid w:val="00F917E0"/>
    <w:rsid w:val="00F93D71"/>
    <w:rsid w:val="00F94B86"/>
    <w:rsid w:val="00F965D2"/>
    <w:rsid w:val="00F970F7"/>
    <w:rsid w:val="00F979D2"/>
    <w:rsid w:val="00FA0730"/>
    <w:rsid w:val="00FA0A17"/>
    <w:rsid w:val="00FA1300"/>
    <w:rsid w:val="00FA3FEC"/>
    <w:rsid w:val="00FB0A0F"/>
    <w:rsid w:val="00FB0E8D"/>
    <w:rsid w:val="00FB3DE0"/>
    <w:rsid w:val="00FB5440"/>
    <w:rsid w:val="00FC04BF"/>
    <w:rsid w:val="00FC0F73"/>
    <w:rsid w:val="00FC1BFA"/>
    <w:rsid w:val="00FC1D92"/>
    <w:rsid w:val="00FC3AFF"/>
    <w:rsid w:val="00FC3D12"/>
    <w:rsid w:val="00FC5701"/>
    <w:rsid w:val="00FC7526"/>
    <w:rsid w:val="00FD3BC8"/>
    <w:rsid w:val="00FD638C"/>
    <w:rsid w:val="00FD6EE8"/>
    <w:rsid w:val="00FE2326"/>
    <w:rsid w:val="00FE247D"/>
    <w:rsid w:val="00FE40BD"/>
    <w:rsid w:val="00FF1986"/>
    <w:rsid w:val="00FF2433"/>
    <w:rsid w:val="00FF2DED"/>
    <w:rsid w:val="00FF4666"/>
    <w:rsid w:val="00FF47AD"/>
    <w:rsid w:val="00FF485E"/>
    <w:rsid w:val="00FF65C2"/>
    <w:rsid w:val="00FF6936"/>
    <w:rsid w:val="014E68C7"/>
    <w:rsid w:val="017E128E"/>
    <w:rsid w:val="01877D84"/>
    <w:rsid w:val="018F015A"/>
    <w:rsid w:val="01923E78"/>
    <w:rsid w:val="020F5943"/>
    <w:rsid w:val="024A736D"/>
    <w:rsid w:val="025465FA"/>
    <w:rsid w:val="028246E5"/>
    <w:rsid w:val="02937295"/>
    <w:rsid w:val="02AA7F7C"/>
    <w:rsid w:val="02D21968"/>
    <w:rsid w:val="02DE287E"/>
    <w:rsid w:val="02FB0353"/>
    <w:rsid w:val="03DA0D25"/>
    <w:rsid w:val="04055C04"/>
    <w:rsid w:val="04722E45"/>
    <w:rsid w:val="047B57D1"/>
    <w:rsid w:val="04805A69"/>
    <w:rsid w:val="048B436D"/>
    <w:rsid w:val="04CF3EAC"/>
    <w:rsid w:val="05157977"/>
    <w:rsid w:val="053D395F"/>
    <w:rsid w:val="059F4D58"/>
    <w:rsid w:val="05B06FD7"/>
    <w:rsid w:val="05B530CD"/>
    <w:rsid w:val="05C45E2E"/>
    <w:rsid w:val="06034C92"/>
    <w:rsid w:val="062D405D"/>
    <w:rsid w:val="06950AEF"/>
    <w:rsid w:val="06CF6DC3"/>
    <w:rsid w:val="06D93B45"/>
    <w:rsid w:val="06E36C9D"/>
    <w:rsid w:val="07732968"/>
    <w:rsid w:val="077D4918"/>
    <w:rsid w:val="07FD7401"/>
    <w:rsid w:val="083A6280"/>
    <w:rsid w:val="086520AA"/>
    <w:rsid w:val="087227C3"/>
    <w:rsid w:val="08D50C11"/>
    <w:rsid w:val="08DC6D85"/>
    <w:rsid w:val="09395944"/>
    <w:rsid w:val="099B64F8"/>
    <w:rsid w:val="09A239F0"/>
    <w:rsid w:val="09D25734"/>
    <w:rsid w:val="09DC490C"/>
    <w:rsid w:val="09DE6E19"/>
    <w:rsid w:val="09E779B5"/>
    <w:rsid w:val="0A09044C"/>
    <w:rsid w:val="0A105DF3"/>
    <w:rsid w:val="0A1353F6"/>
    <w:rsid w:val="0A19448C"/>
    <w:rsid w:val="0A1B4DB4"/>
    <w:rsid w:val="0A3715AE"/>
    <w:rsid w:val="0A6F0102"/>
    <w:rsid w:val="0AC669B1"/>
    <w:rsid w:val="0B1405BF"/>
    <w:rsid w:val="0B9D33AD"/>
    <w:rsid w:val="0BB17F20"/>
    <w:rsid w:val="0C362936"/>
    <w:rsid w:val="0C746D32"/>
    <w:rsid w:val="0C7706CF"/>
    <w:rsid w:val="0C8F54F0"/>
    <w:rsid w:val="0CFC326E"/>
    <w:rsid w:val="0D0540FD"/>
    <w:rsid w:val="0D9A7482"/>
    <w:rsid w:val="0E171455"/>
    <w:rsid w:val="0E482B09"/>
    <w:rsid w:val="0E5F04BD"/>
    <w:rsid w:val="0E9269EA"/>
    <w:rsid w:val="0E985F85"/>
    <w:rsid w:val="0E99689D"/>
    <w:rsid w:val="0EAC5F44"/>
    <w:rsid w:val="0EBA35F0"/>
    <w:rsid w:val="0F002784"/>
    <w:rsid w:val="0F690C4C"/>
    <w:rsid w:val="0F9430BE"/>
    <w:rsid w:val="0FAC5EC7"/>
    <w:rsid w:val="0FC320D0"/>
    <w:rsid w:val="0FF027C9"/>
    <w:rsid w:val="0FFD2019"/>
    <w:rsid w:val="101F172F"/>
    <w:rsid w:val="10602612"/>
    <w:rsid w:val="106554FB"/>
    <w:rsid w:val="10BD7494"/>
    <w:rsid w:val="11942FB9"/>
    <w:rsid w:val="11964521"/>
    <w:rsid w:val="11F902AF"/>
    <w:rsid w:val="12233627"/>
    <w:rsid w:val="125571FB"/>
    <w:rsid w:val="12AC76CD"/>
    <w:rsid w:val="12C701F3"/>
    <w:rsid w:val="12D36CBE"/>
    <w:rsid w:val="12D576E9"/>
    <w:rsid w:val="12EA0B0C"/>
    <w:rsid w:val="13021D2B"/>
    <w:rsid w:val="13125D91"/>
    <w:rsid w:val="134F6C75"/>
    <w:rsid w:val="135862CA"/>
    <w:rsid w:val="13601CFF"/>
    <w:rsid w:val="13C96CF9"/>
    <w:rsid w:val="14287D86"/>
    <w:rsid w:val="14AA4EA6"/>
    <w:rsid w:val="14AE262C"/>
    <w:rsid w:val="14CB5AF6"/>
    <w:rsid w:val="14F21366"/>
    <w:rsid w:val="1516434F"/>
    <w:rsid w:val="15417843"/>
    <w:rsid w:val="15701F81"/>
    <w:rsid w:val="157A0C24"/>
    <w:rsid w:val="15DF5B6F"/>
    <w:rsid w:val="161419D7"/>
    <w:rsid w:val="167A2AA7"/>
    <w:rsid w:val="16D57BDA"/>
    <w:rsid w:val="16EF2A61"/>
    <w:rsid w:val="177C2B41"/>
    <w:rsid w:val="177D4BCE"/>
    <w:rsid w:val="179C3337"/>
    <w:rsid w:val="17AB146D"/>
    <w:rsid w:val="180D19FC"/>
    <w:rsid w:val="18450D0E"/>
    <w:rsid w:val="18506733"/>
    <w:rsid w:val="18642824"/>
    <w:rsid w:val="18AC68A1"/>
    <w:rsid w:val="18E83F4A"/>
    <w:rsid w:val="18FE5A07"/>
    <w:rsid w:val="190F7F38"/>
    <w:rsid w:val="19264214"/>
    <w:rsid w:val="19314EB8"/>
    <w:rsid w:val="194A51F3"/>
    <w:rsid w:val="198B02A3"/>
    <w:rsid w:val="19AC41A3"/>
    <w:rsid w:val="19D07554"/>
    <w:rsid w:val="1A232BE9"/>
    <w:rsid w:val="1A5A13F4"/>
    <w:rsid w:val="1ABB0AD7"/>
    <w:rsid w:val="1AFE1BB6"/>
    <w:rsid w:val="1B1F4C7F"/>
    <w:rsid w:val="1B2274EB"/>
    <w:rsid w:val="1B7D4CE2"/>
    <w:rsid w:val="1BC97BB8"/>
    <w:rsid w:val="1BE7017B"/>
    <w:rsid w:val="1BEF1CBC"/>
    <w:rsid w:val="1BF72EA9"/>
    <w:rsid w:val="1C044B08"/>
    <w:rsid w:val="1C226D10"/>
    <w:rsid w:val="1C353A16"/>
    <w:rsid w:val="1C7C4972"/>
    <w:rsid w:val="1C894F7E"/>
    <w:rsid w:val="1CC1214C"/>
    <w:rsid w:val="1D186A1A"/>
    <w:rsid w:val="1D361187"/>
    <w:rsid w:val="1D503D61"/>
    <w:rsid w:val="1DC515B4"/>
    <w:rsid w:val="1DF22ED3"/>
    <w:rsid w:val="1E194C0C"/>
    <w:rsid w:val="1E6C36F7"/>
    <w:rsid w:val="1EA0522C"/>
    <w:rsid w:val="1EA57449"/>
    <w:rsid w:val="1EEC2AC2"/>
    <w:rsid w:val="1EF973E1"/>
    <w:rsid w:val="1F2E50CF"/>
    <w:rsid w:val="1F5918A0"/>
    <w:rsid w:val="1F661ADE"/>
    <w:rsid w:val="1F6A0B5D"/>
    <w:rsid w:val="1F773FAC"/>
    <w:rsid w:val="1FA94DFA"/>
    <w:rsid w:val="1FDA0C7B"/>
    <w:rsid w:val="1FEF0C78"/>
    <w:rsid w:val="207F47D0"/>
    <w:rsid w:val="208C2696"/>
    <w:rsid w:val="208F14CA"/>
    <w:rsid w:val="20A84202"/>
    <w:rsid w:val="20AB7DAA"/>
    <w:rsid w:val="20E75C5D"/>
    <w:rsid w:val="210B3144"/>
    <w:rsid w:val="212156DD"/>
    <w:rsid w:val="213F5C35"/>
    <w:rsid w:val="21C43017"/>
    <w:rsid w:val="22151BEC"/>
    <w:rsid w:val="229F005C"/>
    <w:rsid w:val="22A77341"/>
    <w:rsid w:val="22E80E67"/>
    <w:rsid w:val="231B4BF6"/>
    <w:rsid w:val="2338142C"/>
    <w:rsid w:val="23622DB7"/>
    <w:rsid w:val="2423796F"/>
    <w:rsid w:val="24CC00F6"/>
    <w:rsid w:val="25BB0DE3"/>
    <w:rsid w:val="25FB2E4D"/>
    <w:rsid w:val="265718FC"/>
    <w:rsid w:val="26C15C20"/>
    <w:rsid w:val="27182D57"/>
    <w:rsid w:val="2759693C"/>
    <w:rsid w:val="275B68D5"/>
    <w:rsid w:val="27C82149"/>
    <w:rsid w:val="281725A9"/>
    <w:rsid w:val="285F77D3"/>
    <w:rsid w:val="290D1173"/>
    <w:rsid w:val="2A2149AF"/>
    <w:rsid w:val="2A6D4153"/>
    <w:rsid w:val="2A700156"/>
    <w:rsid w:val="2AE03C2D"/>
    <w:rsid w:val="2AEB0606"/>
    <w:rsid w:val="2B1C0E80"/>
    <w:rsid w:val="2B705B23"/>
    <w:rsid w:val="2BA43C67"/>
    <w:rsid w:val="2BB467D3"/>
    <w:rsid w:val="2BDD56B1"/>
    <w:rsid w:val="2BFA6683"/>
    <w:rsid w:val="2C0C29B0"/>
    <w:rsid w:val="2C58059F"/>
    <w:rsid w:val="2C5B113B"/>
    <w:rsid w:val="2C7D7B4E"/>
    <w:rsid w:val="2C9373E6"/>
    <w:rsid w:val="2CD54A34"/>
    <w:rsid w:val="2D6D56DD"/>
    <w:rsid w:val="2D8B182D"/>
    <w:rsid w:val="2D996AB4"/>
    <w:rsid w:val="2DA81BAD"/>
    <w:rsid w:val="2DAD0525"/>
    <w:rsid w:val="2DD27F10"/>
    <w:rsid w:val="2E160619"/>
    <w:rsid w:val="2E362285"/>
    <w:rsid w:val="2E3E295B"/>
    <w:rsid w:val="2E5F35C2"/>
    <w:rsid w:val="2E7F456A"/>
    <w:rsid w:val="2E8114AC"/>
    <w:rsid w:val="2EA80FB6"/>
    <w:rsid w:val="2EB059E2"/>
    <w:rsid w:val="2EBB6711"/>
    <w:rsid w:val="2ED15ECF"/>
    <w:rsid w:val="2F4F28F2"/>
    <w:rsid w:val="2F7C353D"/>
    <w:rsid w:val="2FF7296B"/>
    <w:rsid w:val="2FFC2822"/>
    <w:rsid w:val="30203369"/>
    <w:rsid w:val="302808CF"/>
    <w:rsid w:val="306E0E2F"/>
    <w:rsid w:val="30994A22"/>
    <w:rsid w:val="30E26FBF"/>
    <w:rsid w:val="30ED004E"/>
    <w:rsid w:val="30FA2AEA"/>
    <w:rsid w:val="3155682A"/>
    <w:rsid w:val="31780CE4"/>
    <w:rsid w:val="31875909"/>
    <w:rsid w:val="31CD4777"/>
    <w:rsid w:val="31E722F6"/>
    <w:rsid w:val="321E6237"/>
    <w:rsid w:val="3241471C"/>
    <w:rsid w:val="324F5CD7"/>
    <w:rsid w:val="325F0723"/>
    <w:rsid w:val="328B322C"/>
    <w:rsid w:val="329E39DD"/>
    <w:rsid w:val="32E73420"/>
    <w:rsid w:val="32EF516F"/>
    <w:rsid w:val="330546A1"/>
    <w:rsid w:val="33347150"/>
    <w:rsid w:val="33543170"/>
    <w:rsid w:val="33D9765B"/>
    <w:rsid w:val="34040F02"/>
    <w:rsid w:val="34104DF5"/>
    <w:rsid w:val="341C1549"/>
    <w:rsid w:val="343501E6"/>
    <w:rsid w:val="3435767D"/>
    <w:rsid w:val="34747618"/>
    <w:rsid w:val="34984ED4"/>
    <w:rsid w:val="349B5791"/>
    <w:rsid w:val="351E39E6"/>
    <w:rsid w:val="35435822"/>
    <w:rsid w:val="35632F29"/>
    <w:rsid w:val="3573144C"/>
    <w:rsid w:val="357C30A4"/>
    <w:rsid w:val="35AE768B"/>
    <w:rsid w:val="35B003DF"/>
    <w:rsid w:val="35C04749"/>
    <w:rsid w:val="35E9425D"/>
    <w:rsid w:val="35F62F6A"/>
    <w:rsid w:val="362E1D56"/>
    <w:rsid w:val="36447FDB"/>
    <w:rsid w:val="36A5362D"/>
    <w:rsid w:val="36A918CF"/>
    <w:rsid w:val="36B362EC"/>
    <w:rsid w:val="3735199F"/>
    <w:rsid w:val="373C3DD0"/>
    <w:rsid w:val="375C75A7"/>
    <w:rsid w:val="37C44476"/>
    <w:rsid w:val="37CD42AB"/>
    <w:rsid w:val="37F81E5C"/>
    <w:rsid w:val="3810119F"/>
    <w:rsid w:val="385642D3"/>
    <w:rsid w:val="38702BE8"/>
    <w:rsid w:val="397D3232"/>
    <w:rsid w:val="39AD4706"/>
    <w:rsid w:val="39B8501F"/>
    <w:rsid w:val="39C40769"/>
    <w:rsid w:val="39F32C6E"/>
    <w:rsid w:val="3A264040"/>
    <w:rsid w:val="3A5D28EE"/>
    <w:rsid w:val="3A6D0D0E"/>
    <w:rsid w:val="3A7231F5"/>
    <w:rsid w:val="3A777DED"/>
    <w:rsid w:val="3A8012C4"/>
    <w:rsid w:val="3AC215C2"/>
    <w:rsid w:val="3B1A646C"/>
    <w:rsid w:val="3B1C507D"/>
    <w:rsid w:val="3B6A6FAA"/>
    <w:rsid w:val="3B842957"/>
    <w:rsid w:val="3BB80E49"/>
    <w:rsid w:val="3BCC3984"/>
    <w:rsid w:val="3BD611E7"/>
    <w:rsid w:val="3BDE004C"/>
    <w:rsid w:val="3C3516CD"/>
    <w:rsid w:val="3C545C5E"/>
    <w:rsid w:val="3C852C26"/>
    <w:rsid w:val="3C886326"/>
    <w:rsid w:val="3CA248D4"/>
    <w:rsid w:val="3CBC5603"/>
    <w:rsid w:val="3CFE6BB6"/>
    <w:rsid w:val="3D090EE7"/>
    <w:rsid w:val="3D12427B"/>
    <w:rsid w:val="3D1A6577"/>
    <w:rsid w:val="3D440AA9"/>
    <w:rsid w:val="3D495EE6"/>
    <w:rsid w:val="3D4D71A0"/>
    <w:rsid w:val="3D7D5D06"/>
    <w:rsid w:val="3DA36AFF"/>
    <w:rsid w:val="3DDD6A90"/>
    <w:rsid w:val="3DE84B3F"/>
    <w:rsid w:val="3DEE4499"/>
    <w:rsid w:val="3DFD360F"/>
    <w:rsid w:val="3E0B2BC6"/>
    <w:rsid w:val="3E535443"/>
    <w:rsid w:val="3EB109CB"/>
    <w:rsid w:val="3ECB2B7F"/>
    <w:rsid w:val="3EE854DC"/>
    <w:rsid w:val="3EE95239"/>
    <w:rsid w:val="3EEF46B1"/>
    <w:rsid w:val="3F884FF5"/>
    <w:rsid w:val="3FB56FDF"/>
    <w:rsid w:val="40236802"/>
    <w:rsid w:val="405F7EE0"/>
    <w:rsid w:val="40893769"/>
    <w:rsid w:val="40F304AD"/>
    <w:rsid w:val="41454160"/>
    <w:rsid w:val="418F6864"/>
    <w:rsid w:val="41956176"/>
    <w:rsid w:val="41993ECF"/>
    <w:rsid w:val="41A07F66"/>
    <w:rsid w:val="41E01EAF"/>
    <w:rsid w:val="422A5AD4"/>
    <w:rsid w:val="42337056"/>
    <w:rsid w:val="42542934"/>
    <w:rsid w:val="42680103"/>
    <w:rsid w:val="42872BAD"/>
    <w:rsid w:val="42917164"/>
    <w:rsid w:val="42A450CF"/>
    <w:rsid w:val="4304283D"/>
    <w:rsid w:val="431838C4"/>
    <w:rsid w:val="432D3843"/>
    <w:rsid w:val="43565362"/>
    <w:rsid w:val="439378FA"/>
    <w:rsid w:val="43A84449"/>
    <w:rsid w:val="43C11B56"/>
    <w:rsid w:val="43FF051A"/>
    <w:rsid w:val="44131575"/>
    <w:rsid w:val="44137795"/>
    <w:rsid w:val="4459413A"/>
    <w:rsid w:val="44E01823"/>
    <w:rsid w:val="45A64C24"/>
    <w:rsid w:val="45DE3AEF"/>
    <w:rsid w:val="464B69E2"/>
    <w:rsid w:val="466D4D96"/>
    <w:rsid w:val="46A66820"/>
    <w:rsid w:val="478769C0"/>
    <w:rsid w:val="47917D12"/>
    <w:rsid w:val="47AA69CC"/>
    <w:rsid w:val="47F80AD6"/>
    <w:rsid w:val="485F6923"/>
    <w:rsid w:val="48600FB8"/>
    <w:rsid w:val="48665751"/>
    <w:rsid w:val="48710B92"/>
    <w:rsid w:val="48826A69"/>
    <w:rsid w:val="48EE4995"/>
    <w:rsid w:val="490C69C9"/>
    <w:rsid w:val="492A7B36"/>
    <w:rsid w:val="49343372"/>
    <w:rsid w:val="497E2F7B"/>
    <w:rsid w:val="49D73A0F"/>
    <w:rsid w:val="4A7510B1"/>
    <w:rsid w:val="4A857421"/>
    <w:rsid w:val="4B1F5342"/>
    <w:rsid w:val="4B2C0F75"/>
    <w:rsid w:val="4B6028AA"/>
    <w:rsid w:val="4B8354C6"/>
    <w:rsid w:val="4B856007"/>
    <w:rsid w:val="4BB62A17"/>
    <w:rsid w:val="4BD80E88"/>
    <w:rsid w:val="4C095D3B"/>
    <w:rsid w:val="4C1C5F81"/>
    <w:rsid w:val="4C8E2629"/>
    <w:rsid w:val="4CA639E7"/>
    <w:rsid w:val="4DAA004D"/>
    <w:rsid w:val="4E0237C0"/>
    <w:rsid w:val="4E525DEC"/>
    <w:rsid w:val="4E6857E7"/>
    <w:rsid w:val="4EBB377F"/>
    <w:rsid w:val="4EE03A09"/>
    <w:rsid w:val="4F994D6B"/>
    <w:rsid w:val="4FAD406E"/>
    <w:rsid w:val="4FB46B4D"/>
    <w:rsid w:val="4FD12002"/>
    <w:rsid w:val="50384DA5"/>
    <w:rsid w:val="507922D9"/>
    <w:rsid w:val="50906756"/>
    <w:rsid w:val="50E15465"/>
    <w:rsid w:val="50FA6F78"/>
    <w:rsid w:val="515F6952"/>
    <w:rsid w:val="517D351C"/>
    <w:rsid w:val="51B15FD8"/>
    <w:rsid w:val="51DA4E53"/>
    <w:rsid w:val="52213BDB"/>
    <w:rsid w:val="522750FF"/>
    <w:rsid w:val="52A57557"/>
    <w:rsid w:val="52B92256"/>
    <w:rsid w:val="531E67C9"/>
    <w:rsid w:val="53BF42EB"/>
    <w:rsid w:val="54314917"/>
    <w:rsid w:val="543B40D4"/>
    <w:rsid w:val="54411AE4"/>
    <w:rsid w:val="5447423A"/>
    <w:rsid w:val="544E4DBC"/>
    <w:rsid w:val="54B17824"/>
    <w:rsid w:val="54D120DF"/>
    <w:rsid w:val="54E14684"/>
    <w:rsid w:val="55392D03"/>
    <w:rsid w:val="55507F9C"/>
    <w:rsid w:val="555E3079"/>
    <w:rsid w:val="558064E0"/>
    <w:rsid w:val="561511AC"/>
    <w:rsid w:val="56447050"/>
    <w:rsid w:val="56F17139"/>
    <w:rsid w:val="57056B3F"/>
    <w:rsid w:val="571E5090"/>
    <w:rsid w:val="575403BE"/>
    <w:rsid w:val="579C231C"/>
    <w:rsid w:val="57C3316E"/>
    <w:rsid w:val="57C81219"/>
    <w:rsid w:val="57EB0EF0"/>
    <w:rsid w:val="5827279C"/>
    <w:rsid w:val="5829220D"/>
    <w:rsid w:val="5863557D"/>
    <w:rsid w:val="58D86327"/>
    <w:rsid w:val="58DF0F9E"/>
    <w:rsid w:val="59733F6E"/>
    <w:rsid w:val="59840341"/>
    <w:rsid w:val="59974716"/>
    <w:rsid w:val="59B90D64"/>
    <w:rsid w:val="59E16760"/>
    <w:rsid w:val="5A261A7C"/>
    <w:rsid w:val="5A6E36E9"/>
    <w:rsid w:val="5A74779D"/>
    <w:rsid w:val="5A7B27DB"/>
    <w:rsid w:val="5AA43F16"/>
    <w:rsid w:val="5AA47FB8"/>
    <w:rsid w:val="5B0E00E0"/>
    <w:rsid w:val="5B744353"/>
    <w:rsid w:val="5B7601C0"/>
    <w:rsid w:val="5B9F7F74"/>
    <w:rsid w:val="5BB074B3"/>
    <w:rsid w:val="5BEA61DD"/>
    <w:rsid w:val="5C090CBA"/>
    <w:rsid w:val="5C2B1369"/>
    <w:rsid w:val="5C6A7376"/>
    <w:rsid w:val="5C6D549E"/>
    <w:rsid w:val="5C86486F"/>
    <w:rsid w:val="5C9368E2"/>
    <w:rsid w:val="5C991556"/>
    <w:rsid w:val="5CDD13AD"/>
    <w:rsid w:val="5D1754B7"/>
    <w:rsid w:val="5D420568"/>
    <w:rsid w:val="5D472A8D"/>
    <w:rsid w:val="5D703CA2"/>
    <w:rsid w:val="5D9C7128"/>
    <w:rsid w:val="5E4761DB"/>
    <w:rsid w:val="5EAA1544"/>
    <w:rsid w:val="5EF67897"/>
    <w:rsid w:val="5F4929EF"/>
    <w:rsid w:val="5FB43A87"/>
    <w:rsid w:val="5FDB4933"/>
    <w:rsid w:val="600B3532"/>
    <w:rsid w:val="60406162"/>
    <w:rsid w:val="604B18E3"/>
    <w:rsid w:val="608F47B0"/>
    <w:rsid w:val="60980D4E"/>
    <w:rsid w:val="60A465A4"/>
    <w:rsid w:val="60AB3821"/>
    <w:rsid w:val="60C80CAF"/>
    <w:rsid w:val="60E16405"/>
    <w:rsid w:val="6142696F"/>
    <w:rsid w:val="6146374D"/>
    <w:rsid w:val="61A61690"/>
    <w:rsid w:val="61A62087"/>
    <w:rsid w:val="61E7240C"/>
    <w:rsid w:val="623F5552"/>
    <w:rsid w:val="62472EF3"/>
    <w:rsid w:val="62A72101"/>
    <w:rsid w:val="62B9587F"/>
    <w:rsid w:val="62FB17DE"/>
    <w:rsid w:val="631121EC"/>
    <w:rsid w:val="63A73B78"/>
    <w:rsid w:val="64191B72"/>
    <w:rsid w:val="645810E7"/>
    <w:rsid w:val="646972D8"/>
    <w:rsid w:val="646D23C1"/>
    <w:rsid w:val="648E0FAC"/>
    <w:rsid w:val="64AB3DD7"/>
    <w:rsid w:val="65200940"/>
    <w:rsid w:val="65A60E78"/>
    <w:rsid w:val="65C5762F"/>
    <w:rsid w:val="65E704B4"/>
    <w:rsid w:val="661B71E4"/>
    <w:rsid w:val="662508E3"/>
    <w:rsid w:val="66A87EBC"/>
    <w:rsid w:val="66D62B03"/>
    <w:rsid w:val="674144B5"/>
    <w:rsid w:val="678E6B32"/>
    <w:rsid w:val="681078B9"/>
    <w:rsid w:val="682C0168"/>
    <w:rsid w:val="69D44D64"/>
    <w:rsid w:val="69DA4580"/>
    <w:rsid w:val="69FB0370"/>
    <w:rsid w:val="6A6876C1"/>
    <w:rsid w:val="6AF26701"/>
    <w:rsid w:val="6B457C96"/>
    <w:rsid w:val="6BAB6C31"/>
    <w:rsid w:val="6BB3342A"/>
    <w:rsid w:val="6BD565C2"/>
    <w:rsid w:val="6BEA3976"/>
    <w:rsid w:val="6C1312FC"/>
    <w:rsid w:val="6C166CCA"/>
    <w:rsid w:val="6CC3467B"/>
    <w:rsid w:val="6CC65D4C"/>
    <w:rsid w:val="6D096EEB"/>
    <w:rsid w:val="6D2245B0"/>
    <w:rsid w:val="6D241617"/>
    <w:rsid w:val="6D7552A6"/>
    <w:rsid w:val="6D9A378E"/>
    <w:rsid w:val="6DB93A2D"/>
    <w:rsid w:val="6DDF18EA"/>
    <w:rsid w:val="6DE97375"/>
    <w:rsid w:val="6DF83BEF"/>
    <w:rsid w:val="6E2D6CCD"/>
    <w:rsid w:val="6E51311A"/>
    <w:rsid w:val="6E595B5C"/>
    <w:rsid w:val="6ED20D89"/>
    <w:rsid w:val="6EFB3ADE"/>
    <w:rsid w:val="6F1C6F2B"/>
    <w:rsid w:val="6F3D267D"/>
    <w:rsid w:val="6F874361"/>
    <w:rsid w:val="6FA8430E"/>
    <w:rsid w:val="6FC3656E"/>
    <w:rsid w:val="6FD8431F"/>
    <w:rsid w:val="708A1C42"/>
    <w:rsid w:val="70987DDD"/>
    <w:rsid w:val="70A92667"/>
    <w:rsid w:val="70FF5BCD"/>
    <w:rsid w:val="719B2C33"/>
    <w:rsid w:val="72244A74"/>
    <w:rsid w:val="72325895"/>
    <w:rsid w:val="7258531A"/>
    <w:rsid w:val="728B5F35"/>
    <w:rsid w:val="730B5833"/>
    <w:rsid w:val="732C284B"/>
    <w:rsid w:val="73420104"/>
    <w:rsid w:val="735B332A"/>
    <w:rsid w:val="736C11EF"/>
    <w:rsid w:val="736C5543"/>
    <w:rsid w:val="73B22862"/>
    <w:rsid w:val="73FA0EB5"/>
    <w:rsid w:val="74317119"/>
    <w:rsid w:val="743A7FA1"/>
    <w:rsid w:val="74583472"/>
    <w:rsid w:val="74771CF9"/>
    <w:rsid w:val="747D4AC6"/>
    <w:rsid w:val="74D200C9"/>
    <w:rsid w:val="74FD1F44"/>
    <w:rsid w:val="75E32254"/>
    <w:rsid w:val="762273A7"/>
    <w:rsid w:val="76902368"/>
    <w:rsid w:val="76EC47F7"/>
    <w:rsid w:val="770B27D5"/>
    <w:rsid w:val="77254C3C"/>
    <w:rsid w:val="772856E2"/>
    <w:rsid w:val="7775748D"/>
    <w:rsid w:val="7801654D"/>
    <w:rsid w:val="7810123D"/>
    <w:rsid w:val="78216DB0"/>
    <w:rsid w:val="789D7633"/>
    <w:rsid w:val="78AD439C"/>
    <w:rsid w:val="78ED1B31"/>
    <w:rsid w:val="79460928"/>
    <w:rsid w:val="79795BAD"/>
    <w:rsid w:val="79B83AFC"/>
    <w:rsid w:val="7A1B0C8C"/>
    <w:rsid w:val="7A5C6523"/>
    <w:rsid w:val="7A68778D"/>
    <w:rsid w:val="7A896E9B"/>
    <w:rsid w:val="7AB817D3"/>
    <w:rsid w:val="7AD2107A"/>
    <w:rsid w:val="7AD33BC6"/>
    <w:rsid w:val="7AD947D0"/>
    <w:rsid w:val="7AEA702A"/>
    <w:rsid w:val="7AF94474"/>
    <w:rsid w:val="7B753133"/>
    <w:rsid w:val="7BAE4AF2"/>
    <w:rsid w:val="7C55153C"/>
    <w:rsid w:val="7C6504B7"/>
    <w:rsid w:val="7C652D7C"/>
    <w:rsid w:val="7D786F70"/>
    <w:rsid w:val="7DE15294"/>
    <w:rsid w:val="7E0F7B36"/>
    <w:rsid w:val="7E1A2505"/>
    <w:rsid w:val="7E4775C9"/>
    <w:rsid w:val="7E71299B"/>
    <w:rsid w:val="7E8C22CB"/>
    <w:rsid w:val="7EA17B78"/>
    <w:rsid w:val="7EBE4965"/>
    <w:rsid w:val="7ECC53FE"/>
    <w:rsid w:val="7F533799"/>
    <w:rsid w:val="7F874872"/>
    <w:rsid w:val="7FDC56CC"/>
    <w:rsid w:val="7FF546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200" w:leftChars="200" w:firstLine="420"/>
    </w:pPr>
  </w:style>
  <w:style w:type="paragraph" w:styleId="3">
    <w:name w:val="Body Text Indent"/>
    <w:basedOn w:val="1"/>
    <w:qFormat/>
    <w:uiPriority w:val="0"/>
    <w:pPr>
      <w:spacing w:line="600" w:lineRule="exact"/>
      <w:ind w:firstLine="640" w:firstLineChars="200"/>
    </w:pPr>
    <w:rPr>
      <w:rFonts w:eastAsia="仿宋_GB2312"/>
      <w:sz w:val="32"/>
      <w:szCs w:val="28"/>
    </w:rPr>
  </w:style>
  <w:style w:type="paragraph" w:styleId="6">
    <w:name w:val="annotation text"/>
    <w:basedOn w:val="1"/>
    <w:qFormat/>
    <w:uiPriority w:val="0"/>
    <w:pPr>
      <w:jc w:val="left"/>
    </w:pPr>
  </w:style>
  <w:style w:type="paragraph" w:styleId="7">
    <w:name w:val="endnote text"/>
    <w:basedOn w:val="1"/>
    <w:semiHidden/>
    <w:qFormat/>
    <w:uiPriority w:val="0"/>
    <w:pPr>
      <w:snapToGrid w:val="0"/>
      <w:jc w:val="left"/>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22"/>
    <w:rPr>
      <w:b/>
      <w:bCs/>
    </w:rPr>
  </w:style>
  <w:style w:type="character" w:styleId="15">
    <w:name w:val="endnote reference"/>
    <w:basedOn w:val="13"/>
    <w:semiHidden/>
    <w:qFormat/>
    <w:uiPriority w:val="0"/>
    <w:rPr>
      <w:vertAlign w:val="superscript"/>
    </w:rPr>
  </w:style>
  <w:style w:type="character" w:styleId="16">
    <w:name w:val="page number"/>
    <w:basedOn w:val="13"/>
    <w:qFormat/>
    <w:uiPriority w:val="0"/>
  </w:style>
  <w:style w:type="character" w:styleId="17">
    <w:name w:val="Hyperlink"/>
    <w:basedOn w:val="13"/>
    <w:unhideWhenUsed/>
    <w:qFormat/>
    <w:uiPriority w:val="99"/>
    <w:rPr>
      <w:color w:val="0000FF" w:themeColor="hyperlink"/>
      <w:u w:val="single"/>
    </w:rPr>
  </w:style>
  <w:style w:type="paragraph" w:customStyle="1" w:styleId="18">
    <w:name w:val="p0"/>
    <w:basedOn w:val="1"/>
    <w:qFormat/>
    <w:uiPriority w:val="0"/>
    <w:pPr>
      <w:widowControl/>
    </w:pPr>
    <w:rPr>
      <w:kern w:val="0"/>
      <w:szCs w:val="21"/>
    </w:rPr>
  </w:style>
  <w:style w:type="character" w:customStyle="1" w:styleId="19">
    <w:name w:val="批注框文本 Char"/>
    <w:basedOn w:val="13"/>
    <w:link w:val="8"/>
    <w:qFormat/>
    <w:uiPriority w:val="0"/>
    <w:rPr>
      <w:kern w:val="2"/>
      <w:sz w:val="18"/>
      <w:szCs w:val="18"/>
    </w:rPr>
  </w:style>
  <w:style w:type="character" w:customStyle="1" w:styleId="20">
    <w:name w:val="标题 1 Char"/>
    <w:basedOn w:val="13"/>
    <w:link w:val="4"/>
    <w:qFormat/>
    <w:uiPriority w:val="9"/>
    <w:rPr>
      <w:rFonts w:ascii="宋体" w:hAnsi="宋体" w:cs="宋体"/>
      <w:b/>
      <w:bCs/>
      <w:kern w:val="36"/>
      <w:sz w:val="48"/>
      <w:szCs w:val="48"/>
    </w:rPr>
  </w:style>
  <w:style w:type="character" w:customStyle="1" w:styleId="21">
    <w:name w:val="标题 2 Char"/>
    <w:basedOn w:val="13"/>
    <w:link w:val="5"/>
    <w:semiHidden/>
    <w:qFormat/>
    <w:uiPriority w:val="0"/>
    <w:rPr>
      <w:rFonts w:asciiTheme="majorHAnsi" w:hAnsiTheme="majorHAnsi" w:eastAsiaTheme="majorEastAsia" w:cstheme="majorBidi"/>
      <w:b/>
      <w:bCs/>
      <w:kern w:val="2"/>
      <w:sz w:val="32"/>
      <w:szCs w:val="32"/>
    </w:rPr>
  </w:style>
  <w:style w:type="paragraph" w:customStyle="1" w:styleId="22">
    <w:name w:val="正文 A"/>
    <w:qFormat/>
    <w:uiPriority w:val="0"/>
    <w:pPr>
      <w:widowControl w:val="0"/>
      <w:jc w:val="both"/>
    </w:pPr>
    <w:rPr>
      <w:rFonts w:ascii="Times New Roman" w:hAnsi="Times New Roman" w:cs="Arial Unicode MS" w:eastAsiaTheme="minorEastAsia"/>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5"/>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9EC5A-62E8-488E-BE96-28D1E63A25FF}">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12</Pages>
  <Words>6855</Words>
  <Characters>7089</Characters>
  <Lines>55</Lines>
  <Paragraphs>15</Paragraphs>
  <TotalTime>0</TotalTime>
  <ScaleCrop>false</ScaleCrop>
  <LinksUpToDate>false</LinksUpToDate>
  <CharactersWithSpaces>7108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2021-04-13T08:22:00Z</dcterms:created>
  <dc:creator>微软用户</dc:creator>
  <cp:lastModifiedBy>清汤不加汤</cp:lastModifiedBy>
  <cp:lastPrinted>2021-03-26T00:30:00Z</cp:lastPrinted>
  <dcterms:modified xsi:type="dcterms:W3CDTF">2025-04-09T08:29:47Z</dcterms:modified>
  <dc:title>县十七届人大一次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A5DA545283B3474E977FC7A61E52B0CD_12</vt:lpwstr>
  </property>
  <property fmtid="{D5CDD505-2E9C-101B-9397-08002B2CF9AE}" pid="4" name="KSOTemplateDocerSaveRecord">
    <vt:lpwstr>eyJoZGlkIjoiNWQwNDc5NDkyNDQ3M2Q3YzYxNTczZDM0NmNlZWJlY2QiLCJ1c2VySWQiOiI2MjY0NTM4NzMifQ==</vt:lpwstr>
  </property>
</Properties>
</file>