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107DA">
      <w:pPr>
        <w:pStyle w:val="3"/>
        <w:spacing w:line="400" w:lineRule="exact"/>
        <w:ind w:firstLine="0" w:firstLineChars="0"/>
        <w:rPr>
          <w:rFonts w:hint="eastAsia" w:ascii="楷体_GB2312" w:hAnsi="宋体" w:eastAsia="楷体_GB2312"/>
          <w:b/>
          <w:szCs w:val="32"/>
        </w:rPr>
      </w:pPr>
      <w:bookmarkStart w:id="0" w:name="_GoBack"/>
      <w:r>
        <w:rPr>
          <w:rFonts w:hint="eastAsia" w:ascii="楷体_GB2312" w:hAnsi="宋体" w:eastAsia="楷体_GB2312"/>
          <w:b/>
          <w:szCs w:val="32"/>
        </w:rPr>
        <w:t>县十八届人大二次</w:t>
      </w:r>
    </w:p>
    <w:p w14:paraId="19839401">
      <w:pPr>
        <w:pStyle w:val="3"/>
        <w:spacing w:line="400" w:lineRule="exact"/>
        <w:ind w:firstLine="0" w:firstLineChars="0"/>
        <w:rPr>
          <w:rFonts w:hint="eastAsia" w:ascii="楷体_GB2312" w:eastAsia="楷体_GB2312"/>
          <w:b/>
          <w:spacing w:val="-10"/>
          <w:szCs w:val="32"/>
        </w:rPr>
      </w:pPr>
      <w:r>
        <w:rPr>
          <w:rFonts w:hint="eastAsia" w:ascii="楷体_GB2312" w:hAnsi="宋体" w:eastAsia="楷体_GB2312"/>
          <w:b/>
          <w:spacing w:val="-10"/>
          <w:szCs w:val="32"/>
        </w:rPr>
        <w:t>会议文件(二十)</w:t>
      </w:r>
    </w:p>
    <w:p w14:paraId="2C0EED31">
      <w:pPr>
        <w:spacing w:line="540" w:lineRule="exact"/>
        <w:rPr>
          <w:rFonts w:hint="eastAsia" w:ascii="方正小标宋简体" w:hAnsi="宋体" w:eastAsia="方正小标宋简体" w:cs="宋体"/>
          <w:bCs/>
          <w:kern w:val="0"/>
          <w:sz w:val="30"/>
          <w:szCs w:val="30"/>
        </w:rPr>
      </w:pPr>
    </w:p>
    <w:p w14:paraId="5F89065F">
      <w:pPr>
        <w:spacing w:line="54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新干县人民检察院工作报告</w:t>
      </w:r>
    </w:p>
    <w:p w14:paraId="469868B9">
      <w:pPr>
        <w:spacing w:line="540" w:lineRule="exact"/>
        <w:jc w:val="center"/>
        <w:rPr>
          <w:rFonts w:hint="eastAsia" w:ascii="仿宋_GB2312" w:eastAsia="仿宋_GB2312"/>
          <w:b/>
          <w:spacing w:val="-8"/>
          <w:sz w:val="32"/>
          <w:szCs w:val="32"/>
        </w:rPr>
      </w:pPr>
    </w:p>
    <w:p w14:paraId="07CF09F1">
      <w:pPr>
        <w:spacing w:line="540" w:lineRule="exact"/>
        <w:jc w:val="center"/>
        <w:rPr>
          <w:rFonts w:hint="eastAsia" w:ascii="楷体_GB2312" w:eastAsia="楷体_GB2312"/>
          <w:spacing w:val="-8"/>
          <w:sz w:val="32"/>
          <w:szCs w:val="32"/>
        </w:rPr>
      </w:pPr>
      <w:r>
        <w:rPr>
          <w:rFonts w:hint="eastAsia" w:ascii="楷体_GB2312" w:eastAsia="楷体_GB2312"/>
          <w:spacing w:val="-8"/>
          <w:sz w:val="32"/>
          <w:szCs w:val="32"/>
        </w:rPr>
        <w:t>——</w:t>
      </w:r>
      <w:r>
        <w:rPr>
          <w:rFonts w:hint="eastAsia" w:ascii="楷体_GB2312" w:eastAsia="楷体_GB2312"/>
          <w:sz w:val="32"/>
          <w:szCs w:val="32"/>
        </w:rPr>
        <w:t>2022年2月11日</w:t>
      </w:r>
      <w:r>
        <w:rPr>
          <w:rFonts w:hint="eastAsia" w:ascii="楷体_GB2312" w:eastAsia="楷体_GB2312"/>
          <w:spacing w:val="-8"/>
          <w:sz w:val="32"/>
          <w:szCs w:val="32"/>
        </w:rPr>
        <w:t>在新干县第十八届</w:t>
      </w:r>
    </w:p>
    <w:p w14:paraId="7C9E8E3D">
      <w:pPr>
        <w:spacing w:line="540" w:lineRule="exact"/>
        <w:jc w:val="center"/>
        <w:rPr>
          <w:rFonts w:hint="eastAsia" w:ascii="楷体_GB2312" w:hAnsi="宋体" w:eastAsia="楷体_GB2312" w:cs="宋体"/>
          <w:bCs/>
          <w:kern w:val="0"/>
          <w:sz w:val="32"/>
          <w:szCs w:val="32"/>
        </w:rPr>
      </w:pPr>
      <w:r>
        <w:rPr>
          <w:rFonts w:hint="eastAsia" w:ascii="楷体_GB2312" w:eastAsia="楷体_GB2312"/>
          <w:spacing w:val="-8"/>
          <w:sz w:val="32"/>
          <w:szCs w:val="32"/>
        </w:rPr>
        <w:t>人民代表大</w:t>
      </w:r>
      <w:r>
        <w:rPr>
          <w:rFonts w:hint="eastAsia" w:ascii="楷体_GB2312" w:eastAsia="楷体_GB2312"/>
          <w:sz w:val="32"/>
          <w:szCs w:val="32"/>
        </w:rPr>
        <w:t>会第二次会议上</w:t>
      </w:r>
    </w:p>
    <w:p w14:paraId="638B2521">
      <w:pPr>
        <w:pStyle w:val="3"/>
        <w:spacing w:line="540" w:lineRule="exact"/>
        <w:ind w:firstLine="0" w:firstLineChars="0"/>
        <w:jc w:val="center"/>
        <w:rPr>
          <w:rFonts w:hint="eastAsia" w:ascii="楷体_GB2312" w:hAnsi="宋体" w:eastAsia="楷体_GB2312" w:cs="宋体"/>
          <w:kern w:val="0"/>
          <w:szCs w:val="32"/>
        </w:rPr>
      </w:pPr>
    </w:p>
    <w:p w14:paraId="4F73715A">
      <w:pPr>
        <w:pStyle w:val="3"/>
        <w:spacing w:line="540" w:lineRule="exact"/>
        <w:ind w:firstLine="0" w:firstLineChars="0"/>
        <w:jc w:val="center"/>
        <w:rPr>
          <w:rFonts w:hint="eastAsia" w:ascii="楷体_GB2312" w:hAnsi="宋体" w:eastAsia="楷体_GB2312" w:cs="宋体"/>
          <w:kern w:val="0"/>
          <w:szCs w:val="32"/>
        </w:rPr>
      </w:pPr>
      <w:r>
        <w:rPr>
          <w:rFonts w:hint="eastAsia" w:ascii="楷体_GB2312" w:hAnsi="宋体" w:eastAsia="楷体_GB2312" w:cs="宋体"/>
          <w:kern w:val="0"/>
          <w:szCs w:val="32"/>
        </w:rPr>
        <w:t>县人民检察院检察长   王义正</w:t>
      </w:r>
    </w:p>
    <w:p w14:paraId="4214D098">
      <w:pPr>
        <w:pStyle w:val="4"/>
        <w:rPr>
          <w:rFonts w:hint="eastAsia"/>
        </w:rPr>
      </w:pPr>
    </w:p>
    <w:p w14:paraId="6E5FA60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sz w:val="32"/>
          <w:szCs w:val="32"/>
        </w:rPr>
      </w:pPr>
      <w:r>
        <w:rPr>
          <w:rFonts w:hint="eastAsia" w:ascii="仿宋_GB2312" w:eastAsia="仿宋_GB2312"/>
          <w:sz w:val="32"/>
          <w:szCs w:val="32"/>
        </w:rPr>
        <w:t>各位代表：</w:t>
      </w:r>
    </w:p>
    <w:p w14:paraId="27F3E7C1">
      <w:pPr>
        <w:keepNext w:val="0"/>
        <w:keepLines w:val="0"/>
        <w:pageBreakBefore w:val="0"/>
        <w:widowControl w:val="0"/>
        <w:kinsoku/>
        <w:wordWrap/>
        <w:overflowPunct/>
        <w:autoSpaceDE w:val="0"/>
        <w:autoSpaceDN w:val="0"/>
        <w:bidi w:val="0"/>
        <w:adjustRightInd w:val="0"/>
        <w:spacing w:line="540" w:lineRule="exact"/>
        <w:ind w:firstLine="640" w:firstLineChars="200"/>
        <w:textAlignment w:val="auto"/>
        <w:rPr>
          <w:rFonts w:hint="eastAsia"/>
          <w:sz w:val="32"/>
          <w:szCs w:val="32"/>
        </w:rPr>
      </w:pPr>
      <w:r>
        <w:rPr>
          <w:rFonts w:hint="eastAsia" w:ascii="仿宋_GB2312" w:eastAsia="仿宋_GB2312"/>
          <w:sz w:val="32"/>
          <w:szCs w:val="32"/>
        </w:rPr>
        <w:t>现在,我代表县人民检察院向大会报告工作，请予审议，并请列席会议的同志提出意见。</w:t>
      </w:r>
    </w:p>
    <w:p w14:paraId="6B776ABA">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黑体" w:eastAsia="黑体"/>
          <w:color w:val="000000"/>
          <w:sz w:val="32"/>
          <w:szCs w:val="32"/>
        </w:rPr>
        <w:t>2021年工作回顾</w:t>
      </w:r>
    </w:p>
    <w:p w14:paraId="15FE55C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eastAsia="楷体_GB2312"/>
          <w:b w:val="0"/>
          <w:bCs w:val="0"/>
          <w:color w:val="000000"/>
          <w:sz w:val="32"/>
          <w:szCs w:val="32"/>
          <w:lang w:eastAsia="zh-CN"/>
        </w:rPr>
      </w:pPr>
      <w:r>
        <w:rPr>
          <w:rFonts w:hint="eastAsia" w:ascii="仿宋_GB2312" w:hAnsi="仿宋_GB2312" w:eastAsia="仿宋_GB2312" w:cs="仿宋_GB2312"/>
          <w:color w:val="000000"/>
          <w:sz w:val="32"/>
          <w:szCs w:val="32"/>
          <w:shd w:val="clear" w:color="auto" w:fill="FFFFFF"/>
        </w:rPr>
        <w:t>2021年</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rPr>
        <w:t>在县委和</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检察院的坚强领导下，我们坚持以习近平新时代中</w:t>
      </w:r>
      <w:r>
        <w:rPr>
          <w:rFonts w:hint="eastAsia" w:ascii="仿宋_GB2312" w:hAnsi="仿宋_GB2312" w:eastAsia="仿宋_GB2312" w:cs="仿宋_GB2312"/>
          <w:color w:val="000000"/>
          <w:sz w:val="32"/>
          <w:szCs w:val="32"/>
          <w:shd w:val="clear" w:color="auto" w:fill="FFFFFF"/>
        </w:rPr>
        <w:t>国特色社会主义思想为指导，</w:t>
      </w:r>
      <w:r>
        <w:rPr>
          <w:rFonts w:hint="eastAsia" w:ascii="仿宋_GB2312" w:hAnsi="Calibri" w:eastAsia="仿宋_GB2312"/>
          <w:color w:val="000000"/>
          <w:sz w:val="32"/>
          <w:szCs w:val="32"/>
        </w:rPr>
        <w:t>深入贯彻</w:t>
      </w:r>
      <w:r>
        <w:rPr>
          <w:rFonts w:hint="eastAsia" w:ascii="仿宋_GB2312" w:hAnsi="Calibri" w:eastAsia="仿宋_GB2312"/>
          <w:color w:val="000000"/>
          <w:sz w:val="32"/>
          <w:szCs w:val="32"/>
          <w:lang w:eastAsia="zh-CN"/>
        </w:rPr>
        <w:t>习近平法治思想和《中共中央关于加强新时代检察机关法律监督工作的意见》</w:t>
      </w:r>
      <w:r>
        <w:rPr>
          <w:rFonts w:hint="eastAsia" w:ascii="仿宋_GB2312" w:hAnsi="Calibri" w:eastAsia="仿宋_GB2312"/>
          <w:color w:val="000000"/>
          <w:sz w:val="32"/>
          <w:szCs w:val="32"/>
        </w:rPr>
        <w:t>，</w:t>
      </w:r>
      <w:r>
        <w:rPr>
          <w:rFonts w:hint="eastAsia" w:ascii="仿宋_GB2312" w:hAnsi="仿宋_GB2312" w:eastAsia="仿宋_GB2312" w:cs="仿宋_GB2312"/>
          <w:i w:val="0"/>
          <w:caps w:val="0"/>
          <w:color w:val="000000"/>
          <w:spacing w:val="0"/>
          <w:sz w:val="32"/>
          <w:szCs w:val="32"/>
          <w:shd w:val="clear" w:color="auto" w:fill="FFFFFF"/>
          <w:lang w:eastAsia="zh-CN"/>
        </w:rPr>
        <w:t>紧扣“讲政治、顾大局、谋发展、重自强”</w:t>
      </w:r>
      <w:r>
        <w:rPr>
          <w:rFonts w:hint="eastAsia" w:ascii="仿宋_GB2312" w:hAnsi="Calibri" w:eastAsia="仿宋_GB2312"/>
          <w:color w:val="000000"/>
          <w:sz w:val="32"/>
          <w:szCs w:val="32"/>
        </w:rPr>
        <w:t>新时代检察工作总要求</w:t>
      </w:r>
      <w:r>
        <w:rPr>
          <w:rFonts w:hint="eastAsia" w:ascii="仿宋_GB2312" w:hAnsi="Calibri" w:eastAsia="仿宋_GB2312"/>
          <w:color w:val="000000"/>
          <w:sz w:val="32"/>
          <w:szCs w:val="32"/>
          <w:lang w:eastAsia="zh-CN"/>
        </w:rPr>
        <w:t>，围绕</w:t>
      </w:r>
      <w:r>
        <w:rPr>
          <w:rFonts w:hint="eastAsia" w:ascii="仿宋_GB2312" w:hAnsi="仿宋_GB2312" w:eastAsia="仿宋_GB2312" w:cs="仿宋_GB2312"/>
          <w:i w:val="0"/>
          <w:caps w:val="0"/>
          <w:color w:val="000000"/>
          <w:spacing w:val="0"/>
          <w:sz w:val="32"/>
          <w:szCs w:val="32"/>
          <w:shd w:val="clear" w:color="auto" w:fill="FFFFFF"/>
          <w:lang w:eastAsia="zh-CN"/>
        </w:rPr>
        <w:t>县委县政府的决策部署和全县经济社会发展大局</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落实县人大会议有关决议，忠实履行法律监督职责，各项检察工作取得新进步，为新干经济社会高质量发展和社会治安稳定作出了积极努力。</w:t>
      </w:r>
      <w:r>
        <w:rPr>
          <w:rFonts w:hint="eastAsia" w:ascii="仿宋_GB2312" w:hAnsi="仿宋_GB2312" w:eastAsia="仿宋_GB2312" w:cs="仿宋_GB2312"/>
          <w:b w:val="0"/>
          <w:bCs w:val="0"/>
          <w:sz w:val="32"/>
          <w:szCs w:val="32"/>
          <w:lang w:val="en-US" w:eastAsia="zh-CN"/>
        </w:rPr>
        <w:t>2021年度，全省检察院满意度排名，我院位列全省第五，全市第一。1名干警荣获“全省扫黑除恶专项斗争先进工作者”，2起案件被评为全省检察机关典型案例。</w:t>
      </w:r>
    </w:p>
    <w:p w14:paraId="64187CCE">
      <w:pPr>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一、围绕中心大局，在服务新干发展中展现检察担当</w:t>
      </w:r>
    </w:p>
    <w:p w14:paraId="4F43A116">
      <w:pPr>
        <w:pStyle w:val="2"/>
        <w:keepNext w:val="0"/>
        <w:keepLines w:val="0"/>
        <w:pageBreakBefore w:val="0"/>
        <w:widowControl w:val="0"/>
        <w:kinsoku/>
        <w:wordWrap/>
        <w:overflowPunct/>
        <w:topLinePunct w:val="0"/>
        <w:autoSpaceDE/>
        <w:autoSpaceDN/>
        <w:bidi w:val="0"/>
        <w:snapToGrid/>
        <w:spacing w:after="0" w:afterLines="0" w:line="540" w:lineRule="exact"/>
        <w:ind w:left="0" w:leftChars="0" w:right="0" w:rightChars="0" w:firstLine="640" w:firstLineChars="200"/>
        <w:jc w:val="both"/>
        <w:textAlignment w:val="auto"/>
        <w:rPr>
          <w:rFonts w:hint="eastAsia" w:ascii="仿宋_GB2312" w:hAnsi="仿宋_GB2312" w:eastAsia="仿宋_GB2312" w:cs="仿宋_GB2312"/>
          <w:b/>
          <w:bCs/>
          <w:color w:val="000000"/>
          <w:sz w:val="32"/>
          <w:szCs w:val="32"/>
        </w:rPr>
      </w:pPr>
      <w:r>
        <w:rPr>
          <w:rFonts w:hint="eastAsia" w:ascii="楷体_GB2312" w:eastAsia="楷体_GB2312"/>
          <w:b w:val="0"/>
          <w:bCs w:val="0"/>
          <w:color w:val="000000"/>
          <w:sz w:val="32"/>
          <w:szCs w:val="32"/>
          <w:lang w:eastAsia="zh-CN"/>
        </w:rPr>
        <w:t>深入</w:t>
      </w:r>
      <w:r>
        <w:rPr>
          <w:rFonts w:hint="eastAsia" w:ascii="楷体_GB2312" w:eastAsia="楷体_GB2312"/>
          <w:b w:val="0"/>
          <w:bCs w:val="0"/>
          <w:color w:val="000000"/>
          <w:sz w:val="32"/>
          <w:szCs w:val="32"/>
        </w:rPr>
        <w:t>推进平安新干建设。</w:t>
      </w:r>
      <w:r>
        <w:rPr>
          <w:rFonts w:hint="eastAsia" w:ascii="仿宋_GB2312" w:hAnsi="仿宋_GB2312" w:eastAsia="仿宋_GB2312" w:cs="仿宋_GB2312"/>
          <w:b w:val="0"/>
          <w:bCs w:val="0"/>
          <w:color w:val="000000"/>
          <w:sz w:val="32"/>
          <w:szCs w:val="32"/>
          <w:lang w:eastAsia="zh-CN"/>
        </w:rPr>
        <w:t>加大惩治犯罪力度，</w:t>
      </w:r>
      <w:r>
        <w:rPr>
          <w:rFonts w:hint="eastAsia" w:ascii="仿宋_GB2312" w:hAnsi="仿宋_GB2312" w:eastAsia="仿宋_GB2312" w:cs="仿宋_GB2312"/>
          <w:color w:val="000000"/>
          <w:kern w:val="0"/>
          <w:sz w:val="32"/>
          <w:szCs w:val="32"/>
          <w:lang w:val="en-US" w:eastAsia="zh-CN"/>
        </w:rPr>
        <w:t>批准逮捕各类犯罪嫌疑人318人、提起公诉402人，同比分别上升10.03%和14.2%。坚持扫黑除恶常态化开展，依法从重从快办理涉黑涉恶案件，并深挖黑恶案件背后存在的管理问题及行业漏洞，向有关部门发出4份检察建议，堵塞监管漏洞。</w:t>
      </w:r>
      <w:r>
        <w:rPr>
          <w:rFonts w:hint="eastAsia" w:ascii="仿宋_GB2312" w:hAnsi="仿宋_GB2312" w:eastAsia="仿宋_GB2312" w:cs="仿宋_GB2312"/>
          <w:sz w:val="32"/>
          <w:szCs w:val="32"/>
          <w:lang w:eastAsia="zh-CN"/>
        </w:rPr>
        <w:t>从严打击危害疫情防控相关犯罪，从快办理涉防疫产品合同诈骗案1件。</w:t>
      </w:r>
    </w:p>
    <w:p w14:paraId="517D8F4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楷体_GB2312" w:eastAsia="楷体_GB2312" w:cs="Times New Roman"/>
          <w:b w:val="0"/>
          <w:bCs w:val="0"/>
          <w:color w:val="000000"/>
          <w:kern w:val="2"/>
          <w:sz w:val="32"/>
          <w:szCs w:val="32"/>
          <w:lang w:val="en-US" w:eastAsia="zh-CN" w:bidi="ar-SA"/>
        </w:rPr>
        <w:t>倾</w:t>
      </w:r>
      <w:r>
        <w:rPr>
          <w:rFonts w:hint="eastAsia" w:ascii="楷体_GB2312" w:hAnsi="Times New Roman" w:eastAsia="楷体_GB2312" w:cs="Times New Roman"/>
          <w:b w:val="0"/>
          <w:bCs w:val="0"/>
          <w:color w:val="000000"/>
          <w:kern w:val="2"/>
          <w:sz w:val="32"/>
          <w:szCs w:val="32"/>
          <w:lang w:val="en-US" w:eastAsia="zh-CN" w:bidi="ar-SA"/>
        </w:rPr>
        <w:t>力护航民营企业发展。</w:t>
      </w:r>
      <w:r>
        <w:rPr>
          <w:rFonts w:hint="eastAsia" w:ascii="仿宋_GB2312" w:hAnsi="仿宋_GB2312" w:eastAsia="仿宋_GB2312" w:cs="仿宋_GB2312"/>
          <w:color w:val="000000"/>
          <w:sz w:val="32"/>
          <w:szCs w:val="32"/>
          <w:shd w:val="clear" w:color="auto" w:fill="FFFFFF"/>
          <w:lang w:val="en-US" w:eastAsia="zh-CN"/>
        </w:rPr>
        <w:t>坚持把保企业作为服务“六稳”“六保”的重点，着力优化法治化营商环境，办理涉“六稳”“六保”案件26件61人，依法惩治影响非公经济发展、破坏生产经营案件4件12人。坚持平等保护原则，对涉案民营企业负责人该严则严，当宽则宽，共对涉案民营企业犯罪嫌疑人采取非羁押强制措施13人，决定不起诉8人，建议适用缓刑并被法院采纳4人。常态化开展涉民营企业“挂案”</w:t>
      </w:r>
      <w:r>
        <w:rPr>
          <w:rFonts w:hint="default" w:ascii="Calibri" w:hAnsi="Calibri" w:eastAsia="仿宋_GB2312" w:cs="Calibri"/>
          <w:sz w:val="32"/>
          <w:szCs w:val="32"/>
          <w:vertAlign w:val="superscript"/>
        </w:rPr>
        <w:t>①</w:t>
      </w:r>
      <w:r>
        <w:rPr>
          <w:rFonts w:hint="eastAsia" w:ascii="仿宋_GB2312" w:hAnsi="仿宋_GB2312" w:eastAsia="仿宋_GB2312" w:cs="仿宋_GB2312"/>
          <w:color w:val="000000"/>
          <w:sz w:val="32"/>
          <w:szCs w:val="32"/>
          <w:shd w:val="clear" w:color="auto" w:fill="FFFFFF"/>
          <w:lang w:val="en-US" w:eastAsia="zh-CN"/>
        </w:rPr>
        <w:t>清理，监督撤销的一起近10年“挂案”，帮助企业放下包袱，全力投入生产经营，被省检察院写入2021年工作报告。持续做好非公企业维权工作，办理非公企业诉求8起，为非公企业提供服务16件次。</w:t>
      </w:r>
    </w:p>
    <w:p w14:paraId="50802CA6">
      <w:pPr>
        <w:pStyle w:val="2"/>
        <w:keepNext w:val="0"/>
        <w:keepLines w:val="0"/>
        <w:pageBreakBefore w:val="0"/>
        <w:widowControl w:val="0"/>
        <w:kinsoku/>
        <w:wordWrap/>
        <w:overflowPunct/>
        <w:topLinePunct w:val="0"/>
        <w:autoSpaceDE/>
        <w:autoSpaceDN/>
        <w:bidi w:val="0"/>
        <w:spacing w:after="0" w:line="540" w:lineRule="exact"/>
        <w:ind w:left="0" w:leftChars="0" w:right="0" w:rightChars="0" w:firstLine="640" w:firstLineChars="200"/>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楷体_GB2312" w:eastAsia="楷体_GB2312"/>
          <w:b w:val="0"/>
          <w:bCs w:val="0"/>
          <w:color w:val="000000"/>
          <w:sz w:val="32"/>
          <w:szCs w:val="32"/>
          <w:lang w:eastAsia="zh-CN"/>
        </w:rPr>
        <w:t>服务打赢</w:t>
      </w:r>
      <w:r>
        <w:rPr>
          <w:rFonts w:hint="eastAsia" w:ascii="楷体_GB2312" w:eastAsia="楷体_GB2312"/>
          <w:b w:val="0"/>
          <w:bCs w:val="0"/>
          <w:color w:val="000000"/>
          <w:sz w:val="32"/>
          <w:szCs w:val="32"/>
        </w:rPr>
        <w:t>三大攻坚战。</w:t>
      </w:r>
      <w:r>
        <w:rPr>
          <w:rFonts w:hint="eastAsia" w:ascii="仿宋_GB2312" w:eastAsia="仿宋_GB2312"/>
          <w:kern w:val="2"/>
          <w:sz w:val="32"/>
          <w:szCs w:val="32"/>
          <w:lang w:val="en-US" w:eastAsia="zh-CN" w:bidi="ar-SA"/>
        </w:rPr>
        <w:t>全</w:t>
      </w:r>
      <w:r>
        <w:rPr>
          <w:rFonts w:hint="eastAsia" w:ascii="仿宋_GB2312" w:hAnsi="仿宋_GB2312" w:eastAsia="仿宋_GB2312" w:cs="仿宋_GB2312"/>
          <w:color w:val="000000"/>
          <w:kern w:val="2"/>
          <w:sz w:val="32"/>
          <w:szCs w:val="32"/>
          <w:shd w:val="clear" w:color="auto" w:fill="FFFFFF"/>
          <w:lang w:val="en-US" w:eastAsia="zh-CN" w:bidi="ar-SA"/>
        </w:rPr>
        <w:t>面落实</w:t>
      </w:r>
      <w:r>
        <w:rPr>
          <w:rFonts w:hint="eastAsia" w:ascii="仿宋_GB2312" w:hAnsi="仿宋_GB2312" w:cs="仿宋_GB2312"/>
          <w:color w:val="000000"/>
          <w:kern w:val="2"/>
          <w:sz w:val="32"/>
          <w:szCs w:val="32"/>
          <w:shd w:val="clear" w:color="auto" w:fill="FFFFFF"/>
          <w:lang w:val="en-US" w:eastAsia="zh-CN" w:bidi="ar-SA"/>
        </w:rPr>
        <w:t>最高检</w:t>
      </w:r>
      <w:r>
        <w:rPr>
          <w:rFonts w:hint="eastAsia" w:ascii="仿宋_GB2312" w:hAnsi="仿宋_GB2312" w:eastAsia="仿宋_GB2312" w:cs="仿宋_GB2312"/>
          <w:color w:val="000000"/>
          <w:kern w:val="2"/>
          <w:sz w:val="32"/>
          <w:szCs w:val="32"/>
          <w:shd w:val="clear" w:color="auto" w:fill="FFFFFF"/>
          <w:lang w:val="en-US" w:eastAsia="zh-CN" w:bidi="ar-SA"/>
        </w:rPr>
        <w:t>“三号检察建议”，守护百姓的“钱袋子”，办理非法吸收公众存款案件6件6人。严打涉农领域犯罪行为，从重从快起诉涉农领域职务犯罪，通过结对帮扶、资金支持、司法保障等方式</w:t>
      </w:r>
      <w:r>
        <w:rPr>
          <w:rFonts w:hint="eastAsia" w:ascii="仿宋_GB2312" w:hAnsi="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CN" w:bidi="ar-SA"/>
        </w:rPr>
        <w:t>多措并举助力巩固拓展脱贫攻坚成果同乡村振兴有效衔接。</w:t>
      </w:r>
      <w:r>
        <w:rPr>
          <w:rFonts w:hint="eastAsia" w:ascii="仿宋_GB2312" w:hAnsi="仿宋_GB2312" w:cs="仿宋_GB2312"/>
          <w:color w:val="000000"/>
          <w:kern w:val="2"/>
          <w:sz w:val="32"/>
          <w:szCs w:val="32"/>
          <w:shd w:val="clear" w:color="auto" w:fill="FFFFFF"/>
          <w:lang w:val="en-US" w:eastAsia="zh-CN" w:bidi="ar-SA"/>
        </w:rPr>
        <w:t>助力美丽新干建设，</w:t>
      </w:r>
      <w:r>
        <w:rPr>
          <w:rFonts w:hint="eastAsia" w:ascii="仿宋_GB2312" w:hAnsi="仿宋_GB2312" w:eastAsia="仿宋_GB2312" w:cs="仿宋_GB2312"/>
          <w:color w:val="000000"/>
          <w:kern w:val="2"/>
          <w:sz w:val="32"/>
          <w:szCs w:val="32"/>
          <w:shd w:val="clear" w:color="auto" w:fill="FFFFFF"/>
          <w:lang w:val="en-US" w:eastAsia="zh-CN" w:bidi="ar-SA"/>
        </w:rPr>
        <w:t>持续开展蓝天、碧水、净土保卫战，围绕污染防治、生态保护，加大对非法捕捞、乱砍滥伐、跨区域倾倒危险废物等行为的打击力度，办理涉嫌破坏生态环境类案件10件32人。持续深化落实“河（湖）长+检察长”“林长+检察长”工作机制，联合河长办常态化开展水域生态环境巡查</w:t>
      </w:r>
      <w:r>
        <w:rPr>
          <w:rFonts w:hint="eastAsia" w:ascii="仿宋_GB2312" w:hAnsi="仿宋_GB2312" w:cs="仿宋_GB2312"/>
          <w:color w:val="000000"/>
          <w:kern w:val="2"/>
          <w:sz w:val="32"/>
          <w:szCs w:val="32"/>
          <w:shd w:val="clear" w:color="auto" w:fill="FFFFFF"/>
          <w:lang w:val="en-US" w:eastAsia="zh-CN" w:bidi="ar-SA"/>
        </w:rPr>
        <w:t>，</w:t>
      </w:r>
      <w:r>
        <w:rPr>
          <w:rFonts w:hint="eastAsia" w:ascii="仿宋_GB2312" w:hAnsi="仿宋_GB2312" w:eastAsia="仿宋_GB2312" w:cs="仿宋_GB2312"/>
          <w:color w:val="000000"/>
          <w:kern w:val="2"/>
          <w:sz w:val="32"/>
          <w:szCs w:val="32"/>
          <w:shd w:val="clear" w:color="auto" w:fill="FFFFFF"/>
          <w:lang w:val="en-US" w:eastAsia="zh-CN" w:bidi="ar-SA"/>
        </w:rPr>
        <w:t>努力用“检察蓝”守护“生态绿”。对我县空气质量问题开展专题走访调查，向相关职能部门发出诉前检察建议4份，督促履职尽责，并持续跟踪督办。</w:t>
      </w:r>
    </w:p>
    <w:p w14:paraId="090E31C7">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二、厚植人民情怀，在增进民生福祉中发挥检察作用</w:t>
      </w:r>
    </w:p>
    <w:p w14:paraId="328B875C">
      <w:pPr>
        <w:keepNext w:val="0"/>
        <w:keepLines w:val="0"/>
        <w:pageBreakBefore w:val="0"/>
        <w:widowControl w:val="0"/>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color w:val="000000"/>
          <w:kern w:val="2"/>
          <w:sz w:val="32"/>
          <w:szCs w:val="32"/>
          <w:lang w:val="en-US" w:eastAsia="zh-CN" w:bidi="ar-SA"/>
        </w:rPr>
        <w:t>严厉打击危害群众安全感犯罪</w:t>
      </w:r>
      <w:r>
        <w:rPr>
          <w:rFonts w:hint="eastAsia" w:ascii="楷体" w:hAnsi="楷体" w:eastAsia="楷体" w:cs="楷体"/>
          <w:sz w:val="32"/>
          <w:szCs w:val="32"/>
        </w:rPr>
        <w:t>。</w:t>
      </w:r>
      <w:r>
        <w:rPr>
          <w:rFonts w:hint="eastAsia" w:ascii="仿宋_GB2312" w:hAnsi="仿宋_GB2312" w:eastAsia="仿宋_GB2312" w:cs="仿宋_GB2312"/>
          <w:sz w:val="32"/>
          <w:szCs w:val="32"/>
          <w:lang w:eastAsia="zh-CN"/>
        </w:rPr>
        <w:t>依法批捕起诉</w:t>
      </w:r>
      <w:r>
        <w:rPr>
          <w:rFonts w:hint="eastAsia" w:ascii="仿宋_GB2312" w:hAnsi="仿宋_GB2312" w:eastAsia="仿宋_GB2312" w:cs="仿宋_GB2312"/>
          <w:sz w:val="32"/>
          <w:szCs w:val="32"/>
        </w:rPr>
        <w:t>“盗抢骗”“黄赌毒”等</w:t>
      </w:r>
      <w:r>
        <w:rPr>
          <w:rFonts w:hint="eastAsia" w:ascii="仿宋_GB2312" w:hAnsi="仿宋_GB2312" w:eastAsia="仿宋_GB2312" w:cs="仿宋_GB2312"/>
          <w:sz w:val="32"/>
          <w:szCs w:val="32"/>
          <w:lang w:eastAsia="zh-CN"/>
        </w:rPr>
        <w:t>多发性侵财性暴力性犯罪</w:t>
      </w:r>
      <w:r>
        <w:rPr>
          <w:rFonts w:hint="eastAsia" w:ascii="仿宋_GB2312" w:hAnsi="仿宋_GB2312" w:eastAsia="仿宋_GB2312" w:cs="仿宋_GB2312"/>
          <w:sz w:val="32"/>
          <w:szCs w:val="32"/>
        </w:rPr>
        <w:t>案件112件189人，</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人民群众</w:t>
      </w:r>
      <w:r>
        <w:rPr>
          <w:rFonts w:hint="eastAsia" w:ascii="仿宋_GB2312" w:hAnsi="仿宋_GB2312" w:eastAsia="仿宋_GB2312" w:cs="仿宋_GB2312"/>
          <w:sz w:val="32"/>
          <w:szCs w:val="32"/>
          <w:lang w:eastAsia="zh-CN"/>
        </w:rPr>
        <w:t>人身安全和财产安全</w:t>
      </w:r>
      <w:r>
        <w:rPr>
          <w:rFonts w:hint="eastAsia" w:ascii="仿宋_GB2312" w:hAnsi="仿宋_GB2312" w:eastAsia="仿宋_GB2312" w:cs="仿宋_GB2312"/>
          <w:sz w:val="32"/>
          <w:szCs w:val="32"/>
        </w:rPr>
        <w:t>。针对发生的多起强奸未成年人案件依法快捕快诉，形成司法震慑。坚决遏制网络犯罪高发态势，深入推进“断卡”行动</w:t>
      </w:r>
      <w:r>
        <w:rPr>
          <w:rFonts w:ascii="Calibri" w:hAnsi="Calibri" w:eastAsia="仿宋_GB2312" w:cs="Calibri"/>
          <w:sz w:val="32"/>
          <w:szCs w:val="32"/>
          <w:vertAlign w:val="superscript"/>
        </w:rPr>
        <w:t>②</w:t>
      </w:r>
      <w:r>
        <w:rPr>
          <w:rFonts w:hint="eastAsia" w:ascii="仿宋_GB2312" w:hAnsi="仿宋_GB2312" w:eastAsia="仿宋_GB2312" w:cs="仿宋_GB2312"/>
          <w:sz w:val="32"/>
          <w:szCs w:val="32"/>
        </w:rPr>
        <w:t>，办理电信网络诈骗、帮助信息网络犯罪活动等犯罪案件15件42人，切实斩断电信网络诈骗等相关上游犯罪资金转移渠道。</w:t>
      </w:r>
    </w:p>
    <w:p w14:paraId="3ECE78AB">
      <w:pPr>
        <w:keepNext w:val="0"/>
        <w:keepLines w:val="0"/>
        <w:pageBreakBefore w:val="0"/>
        <w:widowControl w:val="0"/>
        <w:pBdr>
          <w:bottom w:val="single" w:color="FFFFFF" w:sz="4" w:space="31"/>
        </w:pBdr>
        <w:kinsoku/>
        <w:wordWrap/>
        <w:overflowPunct/>
        <w:topLinePunct/>
        <w:autoSpaceDE w:val="0"/>
        <w:bidi w:val="0"/>
        <w:snapToGrid w:val="0"/>
        <w:spacing w:line="54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lang w:eastAsia="zh-CN"/>
        </w:rPr>
        <w:t>努力解决群众急难愁盼事。</w:t>
      </w:r>
      <w:r>
        <w:rPr>
          <w:rFonts w:hint="eastAsia" w:ascii="仿宋_GB2312" w:hAnsi="仿宋_GB2312" w:eastAsia="仿宋_GB2312" w:cs="仿宋_GB2312"/>
          <w:sz w:val="32"/>
          <w:szCs w:val="32"/>
        </w:rPr>
        <w:t>扎实推进“我为群众办实事”实践活动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聚焦社会关注的热点、难点、堵点，充分发挥检察职能，推动办好民生实事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办结重点民生项目8个，群众满意率达100%。守护“舌尖上”的安全，深化落实食品药品“四个最严”要求</w:t>
      </w:r>
      <w:r>
        <w:rPr>
          <w:rFonts w:ascii="Calibri" w:hAnsi="Calibri" w:eastAsia="仿宋_GB2312" w:cs="Calibri"/>
          <w:sz w:val="32"/>
          <w:szCs w:val="32"/>
          <w:vertAlign w:val="superscript"/>
        </w:rPr>
        <w:t>③</w:t>
      </w:r>
      <w:r>
        <w:rPr>
          <w:rFonts w:hint="eastAsia" w:ascii="仿宋_GB2312" w:hAnsi="仿宋_GB2312" w:eastAsia="仿宋_GB2312" w:cs="仿宋_GB2312"/>
          <w:sz w:val="32"/>
          <w:szCs w:val="32"/>
        </w:rPr>
        <w:t>，积极开展养老机构食品安全和散装食品安全专项活动，保障全县48所学校和20余所养老机构的饮食安全。针对窨井“吃人”、电动自行车“飞线充电”等问题开展专项监督活动，</w:t>
      </w:r>
      <w:r>
        <w:rPr>
          <w:rFonts w:hint="default" w:ascii="仿宋_GB2312" w:hAnsi="仿宋_GB2312" w:eastAsia="仿宋_GB2312" w:cs="仿宋_GB2312"/>
          <w:sz w:val="32"/>
          <w:szCs w:val="32"/>
        </w:rPr>
        <w:t>督促</w:t>
      </w:r>
      <w:r>
        <w:rPr>
          <w:rFonts w:hint="eastAsia" w:ascii="仿宋_GB2312" w:hAnsi="仿宋_GB2312" w:eastAsia="仿宋_GB2312" w:cs="仿宋_GB2312"/>
          <w:sz w:val="32"/>
          <w:szCs w:val="32"/>
          <w:lang w:eastAsia="zh-CN"/>
        </w:rPr>
        <w:t>相关职能部门</w:t>
      </w:r>
      <w:r>
        <w:rPr>
          <w:rFonts w:hint="eastAsia" w:ascii="仿宋_GB2312" w:hAnsi="仿宋_GB2312" w:eastAsia="仿宋_GB2312" w:cs="仿宋_GB2312"/>
          <w:sz w:val="32"/>
          <w:szCs w:val="32"/>
        </w:rPr>
        <w:t>修复窨井盖10余处，集中整治飞线充电小区20余个。</w:t>
      </w:r>
    </w:p>
    <w:p w14:paraId="40218789">
      <w:pPr>
        <w:keepNext w:val="0"/>
        <w:keepLines w:val="0"/>
        <w:pageBreakBefore w:val="0"/>
        <w:widowControl w:val="0"/>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楷体_GB2312" w:eastAsia="楷体_GB2312"/>
          <w:b w:val="0"/>
          <w:bCs w:val="0"/>
          <w:color w:val="000000"/>
          <w:sz w:val="32"/>
          <w:szCs w:val="32"/>
          <w:highlight w:val="none"/>
          <w:lang w:eastAsia="zh-CN"/>
        </w:rPr>
        <w:t>着力化解社会矛盾纠纷。</w:t>
      </w:r>
      <w:r>
        <w:rPr>
          <w:rFonts w:hint="eastAsia" w:ascii="仿宋_GB2312" w:hAnsi="仿宋_GB2312" w:eastAsia="仿宋_GB2312" w:cs="仿宋_GB2312"/>
          <w:b w:val="0"/>
          <w:bCs w:val="0"/>
          <w:color w:val="000000"/>
          <w:sz w:val="32"/>
          <w:szCs w:val="32"/>
          <w:highlight w:val="none"/>
          <w:lang w:eastAsia="zh-CN"/>
        </w:rPr>
        <w:t>深入贯彻少</w:t>
      </w:r>
      <w:r>
        <w:rPr>
          <w:rFonts w:hint="eastAsia" w:ascii="仿宋_GB2312" w:hAnsi="仿宋_GB2312" w:eastAsia="仿宋_GB2312" w:cs="仿宋_GB2312"/>
          <w:color w:val="000000"/>
          <w:sz w:val="32"/>
          <w:szCs w:val="32"/>
          <w:highlight w:val="none"/>
          <w:lang w:eastAsia="zh-CN"/>
        </w:rPr>
        <w:t>捕慎诉慎押刑事司法政策，深化落实</w:t>
      </w:r>
      <w:r>
        <w:rPr>
          <w:rFonts w:hint="eastAsia" w:ascii="仿宋_GB2312" w:hAnsi="仿宋_GB2312" w:eastAsia="仿宋_GB2312" w:cs="仿宋_GB2312"/>
          <w:color w:val="000000"/>
          <w:sz w:val="32"/>
          <w:szCs w:val="32"/>
        </w:rPr>
        <w:t>认罪认罚</w:t>
      </w:r>
      <w:r>
        <w:rPr>
          <w:rFonts w:hint="eastAsia" w:ascii="仿宋_GB2312" w:hAnsi="仿宋_GB2312" w:eastAsia="仿宋_GB2312" w:cs="仿宋_GB2312"/>
          <w:color w:val="000000"/>
          <w:sz w:val="32"/>
          <w:szCs w:val="32"/>
          <w:lang w:eastAsia="zh-CN"/>
        </w:rPr>
        <w:t>从宽制度，最大限度</w:t>
      </w:r>
      <w:r>
        <w:rPr>
          <w:rFonts w:hint="eastAsia" w:ascii="仿宋_GB2312" w:hAnsi="仿宋_GB2312" w:eastAsia="仿宋_GB2312" w:cs="仿宋_GB2312"/>
          <w:color w:val="000000"/>
          <w:sz w:val="32"/>
          <w:szCs w:val="32"/>
        </w:rPr>
        <w:t>减少社会对抗</w:t>
      </w:r>
      <w:r>
        <w:rPr>
          <w:rFonts w:hint="eastAsia" w:ascii="仿宋_GB2312" w:hAnsi="仿宋_GB2312" w:eastAsia="仿宋_GB2312" w:cs="仿宋_GB2312"/>
          <w:color w:val="000000"/>
          <w:sz w:val="32"/>
          <w:szCs w:val="32"/>
          <w:lang w:eastAsia="zh-CN"/>
        </w:rPr>
        <w:t>，依法不捕</w:t>
      </w:r>
      <w:r>
        <w:rPr>
          <w:rFonts w:hint="eastAsia" w:ascii="仿宋_GB2312" w:hAnsi="仿宋_GB2312" w:eastAsia="仿宋_GB2312" w:cs="仿宋_GB2312"/>
          <w:color w:val="000000"/>
          <w:sz w:val="32"/>
          <w:szCs w:val="32"/>
          <w:lang w:val="en-US" w:eastAsia="zh-CN"/>
        </w:rPr>
        <w:t>133人，不起诉53人，依职权变更或建议变更为非羁押措施88人，不捕率、不诉率分别比2020年上升25.47%和20.45%，诉前羁押率降至历史最低点，为59.21%。</w:t>
      </w:r>
      <w:r>
        <w:rPr>
          <w:rFonts w:hint="eastAsia" w:ascii="仿宋_GB2312" w:hAnsi="仿宋_GB2312" w:eastAsia="仿宋_GB2312" w:cs="仿宋_GB2312"/>
          <w:b w:val="0"/>
          <w:bCs w:val="0"/>
          <w:sz w:val="32"/>
          <w:szCs w:val="32"/>
          <w:highlight w:val="none"/>
          <w:lang w:eastAsia="zh-CN"/>
        </w:rPr>
        <w:t>认</w:t>
      </w:r>
      <w:r>
        <w:rPr>
          <w:rFonts w:hint="eastAsia" w:ascii="仿宋_GB2312" w:hAnsi="仿宋_GB2312" w:eastAsia="仿宋_GB2312" w:cs="仿宋_GB2312"/>
          <w:sz w:val="32"/>
          <w:szCs w:val="32"/>
          <w:highlight w:val="none"/>
          <w:lang w:eastAsia="zh-CN"/>
        </w:rPr>
        <w:t>罪认罚从宽制度应用尽用，</w:t>
      </w:r>
      <w:r>
        <w:rPr>
          <w:rFonts w:hint="eastAsia" w:ascii="仿宋_GB2312" w:hAnsi="仿宋_GB2312" w:eastAsia="仿宋_GB2312" w:cs="仿宋_GB2312"/>
          <w:color w:val="000000"/>
          <w:sz w:val="32"/>
          <w:szCs w:val="32"/>
          <w:lang w:val="en-US" w:eastAsia="zh-CN"/>
        </w:rPr>
        <w:t>依法</w:t>
      </w:r>
      <w:r>
        <w:rPr>
          <w:rFonts w:hint="eastAsia" w:ascii="仿宋_GB2312" w:hAnsi="仿宋_GB2312" w:eastAsia="仿宋_GB2312" w:cs="仿宋_GB2312"/>
          <w:b w:val="0"/>
          <w:bCs w:val="0"/>
          <w:sz w:val="32"/>
          <w:szCs w:val="32"/>
          <w:highlight w:val="none"/>
          <w:lang w:eastAsia="zh-CN"/>
        </w:rPr>
        <w:t>适用</w:t>
      </w:r>
      <w:r>
        <w:rPr>
          <w:rFonts w:hint="eastAsia" w:ascii="仿宋_GB2312" w:hAnsi="仿宋_GB2312" w:eastAsia="仿宋_GB2312" w:cs="仿宋_GB2312"/>
          <w:sz w:val="32"/>
          <w:szCs w:val="32"/>
          <w:highlight w:val="none"/>
          <w:lang w:val="en-US" w:eastAsia="zh-CN"/>
        </w:rPr>
        <w:t>378</w:t>
      </w:r>
      <w:r>
        <w:rPr>
          <w:rFonts w:hint="eastAsia" w:ascii="仿宋_GB2312" w:hAnsi="仿宋_GB2312" w:eastAsia="仿宋_GB2312" w:cs="仿宋_GB2312"/>
          <w:sz w:val="32"/>
          <w:szCs w:val="32"/>
          <w:highlight w:val="none"/>
          <w:lang w:eastAsia="zh-CN"/>
        </w:rPr>
        <w:t>人，适用率达</w:t>
      </w:r>
      <w:r>
        <w:rPr>
          <w:rFonts w:hint="eastAsia" w:ascii="仿宋_GB2312" w:hAnsi="仿宋_GB2312" w:eastAsia="仿宋_GB2312" w:cs="仿宋_GB2312"/>
          <w:sz w:val="32"/>
          <w:szCs w:val="32"/>
          <w:highlight w:val="none"/>
          <w:lang w:val="en-US" w:eastAsia="zh-CN"/>
        </w:rPr>
        <w:t>90.84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坚持检察长接访制度，对重大矛盾纠纷和信访突出问题，</w:t>
      </w:r>
      <w:r>
        <w:rPr>
          <w:rFonts w:hint="eastAsia" w:ascii="仿宋_GB2312" w:hAnsi="仿宋_GB2312" w:eastAsia="仿宋_GB2312" w:cs="仿宋_GB2312"/>
          <w:b w:val="0"/>
          <w:bCs w:val="0"/>
          <w:sz w:val="32"/>
          <w:szCs w:val="32"/>
          <w:highlight w:val="none"/>
          <w:lang w:val="en-US" w:eastAsia="zh-CN"/>
        </w:rPr>
        <w:t>压实领导包案责任，</w:t>
      </w:r>
      <w:r>
        <w:rPr>
          <w:rFonts w:hint="eastAsia" w:ascii="仿宋_GB2312" w:hAnsi="仿宋_GB2312" w:eastAsia="仿宋_GB2312" w:cs="仿宋_GB2312"/>
          <w:sz w:val="32"/>
          <w:szCs w:val="32"/>
          <w:highlight w:val="none"/>
        </w:rPr>
        <w:t>实行领导包案化解。</w:t>
      </w:r>
      <w:r>
        <w:rPr>
          <w:rFonts w:hint="eastAsia" w:ascii="仿宋_GB2312" w:hAnsi="仿宋_GB2312" w:eastAsia="仿宋_GB2312" w:cs="仿宋_GB2312"/>
          <w:sz w:val="32"/>
          <w:szCs w:val="32"/>
          <w:highlight w:val="none"/>
          <w:lang w:val="en-US" w:eastAsia="zh-CN"/>
        </w:rPr>
        <w:t>落实群众来信来访件件有回复，</w:t>
      </w:r>
      <w:r>
        <w:rPr>
          <w:rFonts w:hint="eastAsia" w:ascii="仿宋_GB2312" w:hAnsi="仿宋_GB2312" w:eastAsia="仿宋_GB2312" w:cs="仿宋_GB2312"/>
          <w:sz w:val="32"/>
          <w:szCs w:val="32"/>
          <w:highlight w:val="none"/>
          <w:lang w:eastAsia="zh-CN"/>
        </w:rPr>
        <w:t>受理</w:t>
      </w:r>
      <w:r>
        <w:rPr>
          <w:rFonts w:hint="eastAsia" w:ascii="仿宋_GB2312" w:hAnsi="仿宋_GB2312" w:eastAsia="仿宋_GB2312" w:cs="仿宋_GB2312"/>
          <w:sz w:val="32"/>
          <w:szCs w:val="32"/>
          <w:highlight w:val="none"/>
        </w:rPr>
        <w:t>群众信访</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检察长包案办理首次信访案2件，</w:t>
      </w:r>
      <w:r>
        <w:rPr>
          <w:rFonts w:hint="eastAsia" w:ascii="仿宋_GB2312" w:hAnsi="仿宋_GB2312" w:eastAsia="仿宋_GB2312" w:cs="仿宋_GB2312"/>
          <w:sz w:val="32"/>
          <w:szCs w:val="32"/>
          <w:highlight w:val="none"/>
          <w:lang w:eastAsia="zh-CN"/>
        </w:rPr>
        <w:t>所有信访件均做到7日内程序性答复，3个月内实体性回复。</w:t>
      </w:r>
      <w:r>
        <w:rPr>
          <w:rFonts w:hint="eastAsia" w:ascii="仿宋_GB2312" w:hAnsi="仿宋_GB2312" w:eastAsia="仿宋_GB2312" w:cs="仿宋_GB2312"/>
          <w:b w:val="0"/>
          <w:bCs w:val="0"/>
          <w:sz w:val="32"/>
          <w:szCs w:val="32"/>
          <w:highlight w:val="none"/>
          <w:lang w:val="en-US" w:eastAsia="zh-CN"/>
        </w:rPr>
        <w:t>注重发挥司法救助在矛盾化解中的积极作用，对符合救助条件的当事人“应救尽救”，</w:t>
      </w:r>
      <w:r>
        <w:rPr>
          <w:rFonts w:hint="eastAsia" w:ascii="仿宋_GB2312" w:hAnsi="仿宋_GB2312" w:eastAsia="仿宋_GB2312" w:cs="仿宋_GB2312"/>
          <w:b w:val="0"/>
          <w:bCs w:val="0"/>
          <w:sz w:val="32"/>
          <w:szCs w:val="32"/>
          <w:highlight w:val="none"/>
          <w:lang w:eastAsia="zh-CN"/>
        </w:rPr>
        <w:t>办理</w:t>
      </w:r>
      <w:r>
        <w:rPr>
          <w:rFonts w:hint="eastAsia" w:ascii="仿宋_GB2312" w:hAnsi="仿宋_GB2312" w:eastAsia="仿宋_GB2312" w:cs="仿宋_GB2312"/>
          <w:b w:val="0"/>
          <w:bCs w:val="0"/>
          <w:sz w:val="32"/>
          <w:szCs w:val="32"/>
          <w:highlight w:val="none"/>
          <w:lang w:val="en-US" w:eastAsia="zh-CN"/>
        </w:rPr>
        <w:t>16</w:t>
      </w:r>
      <w:r>
        <w:rPr>
          <w:rFonts w:hint="eastAsia" w:ascii="仿宋_GB2312" w:hAnsi="仿宋_GB2312" w:eastAsia="仿宋_GB2312" w:cs="仿宋_GB2312"/>
          <w:b w:val="0"/>
          <w:bCs w:val="0"/>
          <w:sz w:val="32"/>
          <w:szCs w:val="32"/>
          <w:highlight w:val="none"/>
          <w:lang w:eastAsia="zh-CN"/>
        </w:rPr>
        <w:t>起国家司法救助案件，发放司法救助金</w:t>
      </w:r>
      <w:r>
        <w:rPr>
          <w:rFonts w:hint="eastAsia" w:ascii="仿宋_GB2312" w:hAnsi="仿宋_GB2312" w:eastAsia="仿宋_GB2312" w:cs="仿宋_GB2312"/>
          <w:b w:val="0"/>
          <w:bCs w:val="0"/>
          <w:sz w:val="32"/>
          <w:szCs w:val="32"/>
          <w:highlight w:val="none"/>
          <w:lang w:val="en-US" w:eastAsia="zh-CN"/>
        </w:rPr>
        <w:t>23.4</w:t>
      </w:r>
      <w:r>
        <w:rPr>
          <w:rFonts w:hint="eastAsia" w:ascii="仿宋_GB2312" w:hAnsi="仿宋_GB2312" w:eastAsia="仿宋_GB2312" w:cs="仿宋_GB2312"/>
          <w:b w:val="0"/>
          <w:bCs w:val="0"/>
          <w:sz w:val="32"/>
          <w:szCs w:val="32"/>
          <w:highlight w:val="none"/>
          <w:lang w:eastAsia="zh-CN"/>
        </w:rPr>
        <w:t>万元。</w:t>
      </w:r>
    </w:p>
    <w:p w14:paraId="62816BCD">
      <w:pPr>
        <w:keepNext w:val="0"/>
        <w:keepLines w:val="0"/>
        <w:pageBreakBefore w:val="0"/>
        <w:widowControl w:val="0"/>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eastAsia="仿宋_GB2312"/>
          <w:sz w:val="32"/>
          <w:szCs w:val="32"/>
          <w:lang w:eastAsia="zh-CN"/>
        </w:rPr>
      </w:pPr>
      <w:r>
        <w:rPr>
          <w:rFonts w:hint="eastAsia" w:ascii="楷体_GB2312" w:eastAsia="楷体_GB2312"/>
          <w:b w:val="0"/>
          <w:bCs w:val="0"/>
          <w:color w:val="000000"/>
          <w:sz w:val="32"/>
          <w:szCs w:val="32"/>
          <w:lang w:eastAsia="zh-CN"/>
        </w:rPr>
        <w:t>用心呵护</w:t>
      </w:r>
      <w:r>
        <w:rPr>
          <w:rFonts w:hint="eastAsia" w:ascii="楷体_GB2312" w:eastAsia="楷体_GB2312"/>
          <w:b w:val="0"/>
          <w:bCs w:val="0"/>
          <w:color w:val="000000"/>
          <w:sz w:val="32"/>
          <w:szCs w:val="32"/>
        </w:rPr>
        <w:t>未成年人</w:t>
      </w:r>
      <w:r>
        <w:rPr>
          <w:rFonts w:hint="eastAsia" w:ascii="楷体_GB2312" w:eastAsia="楷体_GB2312"/>
          <w:b w:val="0"/>
          <w:bCs w:val="0"/>
          <w:color w:val="000000"/>
          <w:sz w:val="32"/>
          <w:szCs w:val="32"/>
          <w:lang w:eastAsia="zh-CN"/>
        </w:rPr>
        <w:t>健康成长</w:t>
      </w:r>
      <w:r>
        <w:rPr>
          <w:rFonts w:hint="eastAsia" w:ascii="楷体_GB2312" w:eastAsia="楷体_GB2312"/>
          <w:b w:val="0"/>
          <w:bCs w:val="0"/>
          <w:color w:val="000000"/>
          <w:sz w:val="32"/>
          <w:szCs w:val="32"/>
        </w:rPr>
        <w:t>。</w:t>
      </w:r>
      <w:r>
        <w:rPr>
          <w:rFonts w:hint="eastAsia" w:ascii="仿宋_GB2312" w:hAnsi="Calibri" w:eastAsia="仿宋_GB2312"/>
          <w:color w:val="000000"/>
          <w:sz w:val="32"/>
          <w:szCs w:val="32"/>
        </w:rPr>
        <w:t>对未成年人犯罪始终坚持</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教育、感化、挽救</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的方针</w:t>
      </w:r>
      <w:r>
        <w:rPr>
          <w:rFonts w:hint="eastAsia" w:ascii="仿宋_GB2312" w:eastAsia="仿宋_GB2312"/>
          <w:sz w:val="32"/>
          <w:szCs w:val="32"/>
          <w:lang w:val="en-US" w:eastAsia="zh-CN"/>
        </w:rPr>
        <w:t>，坚持少捕慎诉，不捕未成年犯罪嫌疑人8人，相对不起诉3人，附条件不起诉6人</w:t>
      </w:r>
      <w:r>
        <w:rPr>
          <w:rFonts w:hint="eastAsia" w:ascii="仿宋_GB2312" w:hAnsi="仿宋_GB2312" w:eastAsia="仿宋_GB2312" w:cs="仿宋_GB2312"/>
          <w:b w:val="0"/>
          <w:bCs w:val="0"/>
          <w:sz w:val="32"/>
          <w:szCs w:val="32"/>
          <w:lang w:val="en-US" w:eastAsia="zh-CN"/>
        </w:rPr>
        <w:t>。</w:t>
      </w:r>
      <w:r>
        <w:rPr>
          <w:rFonts w:ascii="仿宋_GB2312" w:hAnsi="仿宋_GB2312" w:eastAsia="仿宋_GB2312" w:cs="仿宋_GB2312"/>
          <w:sz w:val="32"/>
          <w:szCs w:val="32"/>
        </w:rPr>
        <w:t>聚焦家庭保护，</w:t>
      </w:r>
      <w:r>
        <w:rPr>
          <w:rFonts w:hint="eastAsia" w:ascii="仿宋_GB2312" w:hAnsi="仿宋_GB2312" w:eastAsia="仿宋_GB2312" w:cs="仿宋_GB2312"/>
          <w:sz w:val="32"/>
          <w:szCs w:val="32"/>
        </w:rPr>
        <w:t>在办理廖某某涉嫌帮助信息网络犯罪活动一案中，</w:t>
      </w:r>
      <w:r>
        <w:rPr>
          <w:rFonts w:ascii="仿宋_GB2312" w:hAnsi="仿宋_GB2312" w:eastAsia="仿宋_GB2312" w:cs="仿宋_GB2312"/>
          <w:sz w:val="32"/>
          <w:szCs w:val="32"/>
        </w:rPr>
        <w:t>发出</w:t>
      </w:r>
      <w:r>
        <w:rPr>
          <w:rFonts w:hint="eastAsia" w:ascii="仿宋_GB2312" w:hAnsi="仿宋_GB2312" w:eastAsia="仿宋_GB2312" w:cs="仿宋_GB2312"/>
          <w:sz w:val="32"/>
          <w:szCs w:val="32"/>
        </w:rPr>
        <w:t>首份</w:t>
      </w:r>
      <w:r>
        <w:rPr>
          <w:rFonts w:ascii="仿宋_GB2312" w:hAnsi="仿宋_GB2312" w:eastAsia="仿宋_GB2312" w:cs="仿宋_GB2312"/>
          <w:sz w:val="32"/>
          <w:szCs w:val="32"/>
        </w:rPr>
        <w:t>督促监护令，</w:t>
      </w:r>
      <w:r>
        <w:rPr>
          <w:rFonts w:hint="eastAsia" w:ascii="仿宋_GB2312" w:hAnsi="仿宋_GB2312" w:eastAsia="仿宋_GB2312" w:cs="仿宋_GB2312"/>
          <w:sz w:val="32"/>
          <w:szCs w:val="32"/>
        </w:rPr>
        <w:t>推动解决未成年人违法犯罪案件背后家庭监护不力问题</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同步加强跟踪</w:t>
      </w:r>
      <w:r>
        <w:rPr>
          <w:rFonts w:ascii="仿宋_GB2312" w:hAnsi="仿宋_GB2312" w:eastAsia="仿宋_GB2312" w:cs="仿宋_GB2312"/>
          <w:sz w:val="32"/>
          <w:szCs w:val="32"/>
        </w:rPr>
        <w:t>帮教</w:t>
      </w:r>
      <w:r>
        <w:rPr>
          <w:rFonts w:hint="eastAsia" w:ascii="仿宋_GB2312" w:hAnsi="仿宋_GB2312" w:eastAsia="仿宋_GB2312" w:cs="仿宋_GB2312"/>
          <w:sz w:val="32"/>
          <w:szCs w:val="32"/>
        </w:rPr>
        <w:t>，为未成年受害人提供心理疏导。</w:t>
      </w:r>
      <w:r>
        <w:rPr>
          <w:rFonts w:hint="eastAsia" w:ascii="仿宋_GB2312" w:eastAsia="仿宋_GB2312"/>
          <w:sz w:val="32"/>
          <w:szCs w:val="32"/>
          <w:lang w:eastAsia="zh-CN"/>
        </w:rPr>
        <w:t>全</w:t>
      </w:r>
      <w:r>
        <w:rPr>
          <w:rFonts w:hint="eastAsia" w:ascii="仿宋_GB2312" w:hAnsi="仿宋_GB2312" w:eastAsia="仿宋_GB2312" w:cs="仿宋_GB2312"/>
          <w:b w:val="0"/>
          <w:bCs w:val="0"/>
          <w:sz w:val="32"/>
          <w:szCs w:val="32"/>
          <w:lang w:val="en-US" w:eastAsia="zh-CN"/>
        </w:rPr>
        <w:t>面落实未成年人特殊保护政策，</w:t>
      </w:r>
      <w:r>
        <w:rPr>
          <w:rFonts w:hint="eastAsia" w:ascii="仿宋_GB2312" w:eastAsia="仿宋_GB2312"/>
          <w:sz w:val="32"/>
          <w:szCs w:val="32"/>
          <w:highlight w:val="none"/>
          <w:lang w:eastAsia="zh-CN"/>
        </w:rPr>
        <w:t>联合教体局等九</w:t>
      </w:r>
      <w:r>
        <w:rPr>
          <w:rFonts w:hint="eastAsia" w:ascii="仿宋_GB2312" w:eastAsia="仿宋_GB2312"/>
          <w:sz w:val="32"/>
          <w:szCs w:val="32"/>
          <w:highlight w:val="none"/>
          <w:lang w:val="en-US" w:eastAsia="zh-CN"/>
        </w:rPr>
        <w:t>部门会签</w:t>
      </w:r>
      <w:r>
        <w:rPr>
          <w:rFonts w:hint="eastAsia" w:ascii="仿宋_GB2312" w:hAnsi="仿宋_GB2312" w:eastAsia="仿宋_GB2312" w:cs="仿宋_GB2312"/>
          <w:b w:val="0"/>
          <w:bCs w:val="0"/>
          <w:sz w:val="32"/>
          <w:szCs w:val="32"/>
          <w:lang w:val="en-US" w:eastAsia="zh-CN"/>
        </w:rPr>
        <w:t>相关文件</w:t>
      </w:r>
      <w:r>
        <w:rPr>
          <w:rFonts w:hint="eastAsia" w:ascii="仿宋_GB2312" w:eastAsia="仿宋_GB2312"/>
          <w:sz w:val="32"/>
          <w:szCs w:val="32"/>
          <w:highlight w:val="none"/>
          <w:lang w:val="en-US" w:eastAsia="zh-CN"/>
        </w:rPr>
        <w:t>，落实侵害未成年人案件</w:t>
      </w:r>
      <w:r>
        <w:rPr>
          <w:rFonts w:hint="eastAsia" w:ascii="仿宋_GB2312" w:hAnsi="仿宋_GB2312" w:eastAsia="仿宋_GB2312" w:cs="仿宋_GB2312"/>
          <w:sz w:val="32"/>
          <w:szCs w:val="32"/>
        </w:rPr>
        <w:t>强制报告制度</w:t>
      </w:r>
      <w:r>
        <w:rPr>
          <w:rFonts w:ascii="Calibri" w:hAnsi="Calibri" w:eastAsia="仿宋_GB2312" w:cs="Calibri"/>
          <w:sz w:val="32"/>
          <w:szCs w:val="32"/>
          <w:vertAlign w:val="superscript"/>
        </w:rPr>
        <w:t>④</w:t>
      </w:r>
      <w:r>
        <w:rPr>
          <w:rFonts w:hint="eastAsia" w:ascii="仿宋_GB2312" w:eastAsia="仿宋_GB2312"/>
          <w:sz w:val="32"/>
          <w:szCs w:val="32"/>
          <w:highlight w:val="none"/>
        </w:rPr>
        <w:t>。</w:t>
      </w:r>
      <w:r>
        <w:rPr>
          <w:rFonts w:hint="eastAsia" w:ascii="仿宋_GB2312" w:eastAsia="仿宋_GB2312"/>
          <w:sz w:val="32"/>
          <w:szCs w:val="32"/>
        </w:rPr>
        <w:t>开展“校园安全巡查”</w:t>
      </w:r>
      <w:r>
        <w:rPr>
          <w:rFonts w:hint="eastAsia" w:ascii="仿宋_GB2312" w:eastAsia="仿宋_GB2312"/>
          <w:sz w:val="32"/>
          <w:szCs w:val="32"/>
          <w:lang w:eastAsia="zh-CN"/>
        </w:rPr>
        <w:t>“护苗”等</w:t>
      </w:r>
      <w:r>
        <w:rPr>
          <w:rFonts w:hint="eastAsia" w:ascii="仿宋_GB2312" w:eastAsia="仿宋_GB2312"/>
          <w:sz w:val="32"/>
          <w:szCs w:val="32"/>
        </w:rPr>
        <w:t>专项行动，</w:t>
      </w:r>
      <w:r>
        <w:rPr>
          <w:rFonts w:hint="eastAsia" w:ascii="仿宋_GB2312" w:eastAsia="仿宋_GB2312"/>
          <w:sz w:val="32"/>
          <w:szCs w:val="32"/>
          <w:lang w:eastAsia="zh-CN"/>
        </w:rPr>
        <w:t>联合相关职能部门对全县中小学周边文化市场开展专项整治，</w:t>
      </w:r>
      <w:r>
        <w:rPr>
          <w:rFonts w:hint="eastAsia" w:ascii="仿宋_GB2312" w:eastAsia="仿宋_GB2312"/>
          <w:sz w:val="32"/>
          <w:szCs w:val="32"/>
          <w:highlight w:val="none"/>
          <w:lang w:eastAsia="zh-CN"/>
        </w:rPr>
        <w:t>向相关责任单位发出检察建议</w:t>
      </w:r>
      <w:r>
        <w:rPr>
          <w:rFonts w:hint="eastAsia" w:ascii="仿宋_GB2312" w:eastAsia="仿宋_GB2312"/>
          <w:sz w:val="32"/>
          <w:szCs w:val="32"/>
          <w:highlight w:val="none"/>
          <w:lang w:val="en-US" w:eastAsia="zh-CN"/>
        </w:rPr>
        <w:t>7份，</w:t>
      </w:r>
      <w:r>
        <w:rPr>
          <w:rFonts w:hint="eastAsia" w:ascii="仿宋_GB2312" w:eastAsia="仿宋_GB2312"/>
          <w:sz w:val="32"/>
          <w:szCs w:val="32"/>
          <w:highlight w:val="none"/>
          <w:lang w:eastAsia="zh-CN"/>
        </w:rPr>
        <w:t>保障校园安全</w:t>
      </w:r>
      <w:r>
        <w:rPr>
          <w:rFonts w:hint="eastAsia" w:ascii="仿宋_GB2312" w:eastAsia="仿宋_GB2312"/>
          <w:sz w:val="32"/>
          <w:szCs w:val="32"/>
          <w:highlight w:val="none"/>
        </w:rPr>
        <w:t>。</w:t>
      </w:r>
      <w:r>
        <w:rPr>
          <w:rFonts w:hint="eastAsia" w:ascii="仿宋_GB2312" w:eastAsia="仿宋_GB2312"/>
          <w:sz w:val="32"/>
          <w:szCs w:val="32"/>
        </w:rPr>
        <w:t>开展“法治进校园”活动，举办</w:t>
      </w:r>
      <w:r>
        <w:rPr>
          <w:rFonts w:hint="eastAsia" w:ascii="仿宋_GB2312" w:eastAsia="仿宋_GB2312"/>
          <w:sz w:val="32"/>
          <w:szCs w:val="32"/>
          <w:lang w:eastAsia="zh-CN"/>
        </w:rPr>
        <w:t>性侵、防电信诈骗</w:t>
      </w:r>
      <w:r>
        <w:rPr>
          <w:rFonts w:hint="eastAsia" w:ascii="仿宋_GB2312" w:eastAsia="仿宋_GB2312"/>
          <w:sz w:val="32"/>
          <w:szCs w:val="32"/>
        </w:rPr>
        <w:t>法治讲座</w:t>
      </w:r>
      <w:r>
        <w:rPr>
          <w:rFonts w:hint="eastAsia" w:ascii="仿宋_GB2312" w:eastAsia="仿宋_GB2312"/>
          <w:sz w:val="32"/>
          <w:szCs w:val="32"/>
          <w:lang w:val="en-US" w:eastAsia="zh-CN"/>
        </w:rPr>
        <w:t>11场</w:t>
      </w:r>
      <w:r>
        <w:rPr>
          <w:rFonts w:hint="eastAsia" w:ascii="仿宋_GB2312" w:eastAsia="仿宋_GB2312"/>
          <w:sz w:val="32"/>
          <w:szCs w:val="32"/>
          <w:lang w:eastAsia="zh-CN"/>
        </w:rPr>
        <w:t>，增强学生自我保护意识，筑牢未成年人保护防线。</w:t>
      </w:r>
    </w:p>
    <w:p w14:paraId="67B36965">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Calibri" w:eastAsia="仿宋_GB2312"/>
          <w:color w:val="000000"/>
          <w:sz w:val="32"/>
          <w:szCs w:val="32"/>
          <w:lang w:eastAsia="zh-CN"/>
        </w:rPr>
      </w:pPr>
      <w:r>
        <w:rPr>
          <w:rFonts w:hint="eastAsia" w:ascii="黑体" w:hAnsi="黑体" w:eastAsia="黑体" w:cs="黑体"/>
          <w:b w:val="0"/>
          <w:bCs w:val="0"/>
          <w:color w:val="000000"/>
          <w:sz w:val="32"/>
          <w:szCs w:val="32"/>
          <w:highlight w:val="none"/>
          <w:lang w:eastAsia="zh-CN"/>
        </w:rPr>
        <w:t>三、聚焦主责主业，在强化法律监督中维护公平正义</w:t>
      </w:r>
    </w:p>
    <w:p w14:paraId="021073A1">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eastAsia="仿宋_GB2312"/>
          <w:sz w:val="32"/>
          <w:szCs w:val="32"/>
          <w:lang w:eastAsia="zh-CN"/>
        </w:rPr>
      </w:pPr>
      <w:r>
        <w:rPr>
          <w:rFonts w:hint="eastAsia" w:ascii="楷体_GB2312" w:eastAsia="楷体_GB2312"/>
          <w:b w:val="0"/>
          <w:bCs w:val="0"/>
          <w:color w:val="000000"/>
          <w:sz w:val="32"/>
          <w:szCs w:val="32"/>
          <w:lang w:eastAsia="zh-CN"/>
        </w:rPr>
        <w:t>不断强化监督履职。</w:t>
      </w:r>
      <w:r>
        <w:rPr>
          <w:rFonts w:hint="eastAsia" w:ascii="仿宋_GB2312" w:hAnsi="仿宋_GB2312" w:eastAsia="仿宋_GB2312" w:cs="仿宋_GB2312"/>
          <w:color w:val="000000"/>
          <w:kern w:val="0"/>
          <w:sz w:val="32"/>
          <w:szCs w:val="32"/>
          <w:lang w:val="en-US" w:eastAsia="zh-CN"/>
        </w:rPr>
        <w:t>坚持在监督中办案、在办案中监督。</w:t>
      </w:r>
      <w:r>
        <w:rPr>
          <w:rFonts w:hint="eastAsia" w:ascii="仿宋_GB2312" w:hAnsi="仿宋_GB2312" w:eastAsia="仿宋_GB2312" w:cs="仿宋_GB2312"/>
          <w:b w:val="0"/>
          <w:bCs w:val="0"/>
          <w:color w:val="000000"/>
          <w:kern w:val="0"/>
          <w:sz w:val="32"/>
          <w:szCs w:val="32"/>
          <w:lang w:val="en-US" w:eastAsia="zh-CN"/>
        </w:rPr>
        <w:t>刑事检察持续优化，</w:t>
      </w:r>
      <w:r>
        <w:rPr>
          <w:rFonts w:hint="eastAsia" w:ascii="仿宋_GB2312" w:hAnsi="仿宋_GB2312" w:eastAsia="仿宋_GB2312" w:cs="仿宋_GB2312"/>
          <w:sz w:val="32"/>
          <w:szCs w:val="32"/>
          <w:lang w:eastAsia="zh-CN"/>
        </w:rPr>
        <w:t>监督立案</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lang w:eastAsia="zh-CN"/>
        </w:rPr>
        <w:t>监督撤案</w:t>
      </w:r>
      <w:r>
        <w:rPr>
          <w:rFonts w:hint="eastAsia" w:ascii="仿宋_GB2312" w:hAnsi="仿宋_GB2312" w:eastAsia="仿宋_GB2312" w:cs="仿宋_GB2312"/>
          <w:sz w:val="32"/>
          <w:szCs w:val="32"/>
          <w:lang w:val="en-US" w:eastAsia="zh-CN"/>
        </w:rPr>
        <w:t>4件</w:t>
      </w:r>
      <w:r>
        <w:rPr>
          <w:rFonts w:hint="eastAsia" w:ascii="仿宋_GB2312" w:hAnsi="仿宋_GB2312" w:eastAsia="仿宋_GB2312" w:cs="仿宋_GB2312"/>
          <w:sz w:val="32"/>
          <w:szCs w:val="32"/>
        </w:rPr>
        <w:t>，纠正违法</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rPr>
        <w:t>纠正漏捕1人，纠正遗漏同案犯4人，纠正漏罪2人，</w:t>
      </w:r>
      <w:r>
        <w:rPr>
          <w:rFonts w:hint="eastAsia" w:ascii="仿宋_GB2312" w:hAnsi="仿宋_GB2312" w:eastAsia="仿宋_GB2312" w:cs="仿宋_GB2312"/>
          <w:sz w:val="32"/>
          <w:szCs w:val="32"/>
        </w:rPr>
        <w:t>向看守所发出规范执法行为类检察监督意见</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份，向</w:t>
      </w:r>
      <w:r>
        <w:rPr>
          <w:rFonts w:hint="eastAsia" w:ascii="仿宋_GB2312" w:hAnsi="仿宋_GB2312" w:eastAsia="仿宋_GB2312" w:cs="仿宋_GB2312"/>
          <w:sz w:val="32"/>
          <w:szCs w:val="32"/>
          <w:lang w:eastAsia="zh-CN"/>
        </w:rPr>
        <w:t>社区矫正</w:t>
      </w:r>
      <w:r>
        <w:rPr>
          <w:rFonts w:hint="eastAsia" w:ascii="仿宋_GB2312" w:hAnsi="仿宋_GB2312" w:eastAsia="仿宋_GB2312" w:cs="仿宋_GB2312"/>
          <w:sz w:val="32"/>
          <w:szCs w:val="32"/>
        </w:rPr>
        <w:t>监管机构发出纠正违法通知书20份</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财产刑执行监督核查</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人。</w:t>
      </w:r>
      <w:r>
        <w:rPr>
          <w:rFonts w:hint="eastAsia" w:ascii="仿宋_GB2312" w:hAnsi="仿宋_GB2312" w:eastAsia="仿宋_GB2312" w:cs="仿宋_GB2312"/>
          <w:b w:val="0"/>
          <w:bCs w:val="0"/>
          <w:sz w:val="32"/>
          <w:szCs w:val="32"/>
          <w:lang w:eastAsia="zh-CN"/>
        </w:rPr>
        <w:t>民事检察持续做实，</w:t>
      </w:r>
      <w:r>
        <w:rPr>
          <w:rFonts w:hint="eastAsia" w:ascii="仿宋_GB2312" w:hAnsi="仿宋_GB2312" w:eastAsia="仿宋_GB2312" w:cs="仿宋_GB2312"/>
          <w:sz w:val="32"/>
          <w:szCs w:val="32"/>
          <w:lang w:eastAsia="zh-CN"/>
        </w:rPr>
        <w:t>办理民事监督案件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color w:val="auto"/>
          <w:kern w:val="0"/>
          <w:sz w:val="32"/>
          <w:szCs w:val="32"/>
          <w:lang w:val="en-US" w:eastAsia="zh-CN"/>
        </w:rPr>
        <w:t>其中民事生效裁判监督案件1件，民事审判违法监督案件2件，支持起诉案件9件。</w:t>
      </w:r>
      <w:r>
        <w:rPr>
          <w:rFonts w:hint="eastAsia" w:ascii="仿宋_GB2312" w:hAnsi="仿宋_GB2312" w:eastAsia="仿宋_GB2312" w:cs="仿宋_GB2312"/>
          <w:b w:val="0"/>
          <w:bCs w:val="0"/>
          <w:sz w:val="32"/>
          <w:szCs w:val="32"/>
          <w:lang w:eastAsia="zh-CN"/>
        </w:rPr>
        <w:t>行政检察逐步深化，办理</w:t>
      </w:r>
      <w:r>
        <w:rPr>
          <w:rFonts w:hint="eastAsia" w:ascii="仿宋_GB2312" w:hAnsi="仿宋_GB2312" w:eastAsia="仿宋_GB2312" w:cs="仿宋_GB2312"/>
          <w:color w:val="auto"/>
          <w:kern w:val="0"/>
          <w:sz w:val="32"/>
          <w:szCs w:val="32"/>
          <w:lang w:val="en-US" w:eastAsia="zh-CN"/>
        </w:rPr>
        <w:t>行政执行监督案件1件，行政争议实质性化解案件1件。</w:t>
      </w:r>
      <w:r>
        <w:rPr>
          <w:rFonts w:hint="eastAsia" w:ascii="仿宋_GB2312" w:hAnsi="仿宋_GB2312" w:eastAsia="仿宋_GB2312" w:cs="仿宋_GB2312"/>
          <w:b w:val="0"/>
          <w:bCs w:val="0"/>
          <w:color w:val="auto"/>
          <w:kern w:val="0"/>
          <w:sz w:val="32"/>
          <w:szCs w:val="32"/>
          <w:lang w:val="en-US" w:eastAsia="zh-CN"/>
        </w:rPr>
        <w:t>公益诉讼检察稳步推进，当好“公共利益的代表”，</w:t>
      </w:r>
      <w:r>
        <w:rPr>
          <w:rFonts w:hint="eastAsia" w:ascii="仿宋_GB2312" w:hAnsi="仿宋_GB2312" w:eastAsia="仿宋_GB2312" w:cs="仿宋_GB2312"/>
          <w:sz w:val="32"/>
          <w:szCs w:val="32"/>
        </w:rPr>
        <w:t>办理民事公益诉讼案件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公益诉讼案件7</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件，发出</w:t>
      </w:r>
      <w:r>
        <w:rPr>
          <w:rFonts w:hint="eastAsia" w:ascii="仿宋_GB2312" w:hAnsi="仿宋_GB2312" w:eastAsia="仿宋_GB2312" w:cs="仿宋_GB2312"/>
          <w:sz w:val="32"/>
          <w:szCs w:val="32"/>
          <w:lang w:eastAsia="zh-CN"/>
        </w:rPr>
        <w:t>诉前</w:t>
      </w:r>
      <w:r>
        <w:rPr>
          <w:rFonts w:hint="eastAsia" w:ascii="仿宋_GB2312" w:hAnsi="仿宋_GB2312" w:eastAsia="仿宋_GB2312" w:cs="仿宋_GB2312"/>
          <w:sz w:val="32"/>
          <w:szCs w:val="32"/>
        </w:rPr>
        <w:t>检察建议</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，促成</w:t>
      </w:r>
      <w:r>
        <w:rPr>
          <w:rFonts w:hint="eastAsia" w:ascii="仿宋_GB2312" w:hAnsi="仿宋_GB2312" w:eastAsia="仿宋_GB2312" w:cs="仿宋_GB2312"/>
          <w:sz w:val="32"/>
          <w:szCs w:val="32"/>
          <w:lang w:val="en-US" w:eastAsia="zh-CN"/>
        </w:rPr>
        <w:t>100%行政</w:t>
      </w:r>
      <w:r>
        <w:rPr>
          <w:rFonts w:hint="eastAsia" w:ascii="仿宋_GB2312" w:hAnsi="仿宋_GB2312" w:eastAsia="仿宋_GB2312" w:cs="仿宋_GB2312"/>
          <w:sz w:val="32"/>
          <w:szCs w:val="32"/>
        </w:rPr>
        <w:t>公益诉讼</w:t>
      </w:r>
      <w:r>
        <w:rPr>
          <w:rFonts w:hint="eastAsia" w:ascii="仿宋_GB2312" w:hAnsi="仿宋_GB2312" w:eastAsia="仿宋_GB2312" w:cs="仿宋_GB2312"/>
          <w:sz w:val="32"/>
          <w:szCs w:val="32"/>
          <w:lang w:eastAsia="zh-CN"/>
        </w:rPr>
        <w:t>案件解决在诉前。</w:t>
      </w:r>
    </w:p>
    <w:p w14:paraId="3742EA89">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b w:val="0"/>
          <w:bCs w:val="0"/>
          <w:color w:val="000000"/>
          <w:sz w:val="32"/>
          <w:szCs w:val="32"/>
          <w:lang w:eastAsia="zh-CN"/>
        </w:rPr>
        <w:t>不断优化监督方式。</w:t>
      </w:r>
      <w:r>
        <w:rPr>
          <w:rFonts w:hint="eastAsia" w:ascii="仿宋_GB2312" w:hAnsi="仿宋_GB2312" w:eastAsia="仿宋_GB2312" w:cs="仿宋_GB2312"/>
          <w:color w:val="000000"/>
          <w:kern w:val="0"/>
          <w:sz w:val="32"/>
          <w:szCs w:val="32"/>
          <w:lang w:val="en-US" w:eastAsia="zh-CN"/>
        </w:rPr>
        <w:t>注重开展专项监督，排查刑事立案、刑事审判、刑罚执行、民事执行等案件线索363件，发现执法司法领域突出问题68个，发出纠正违法检察建议25件，单独或会同相关单位建立健全制度机制14个，促进严格执法、公正司法。</w:t>
      </w:r>
      <w:r>
        <w:rPr>
          <w:rFonts w:hint="eastAsia" w:ascii="仿宋_GB2312" w:hAnsi="仿宋_GB2312" w:eastAsia="仿宋_GB2312" w:cs="仿宋_GB2312"/>
          <w:color w:val="auto"/>
          <w:sz w:val="32"/>
        </w:rPr>
        <w:t>聘请</w:t>
      </w:r>
      <w:r>
        <w:rPr>
          <w:rFonts w:hint="eastAsia" w:ascii="仿宋_GB2312" w:hAnsi="仿宋_GB2312" w:eastAsia="仿宋_GB2312" w:cs="仿宋_GB2312"/>
          <w:color w:val="auto"/>
          <w:sz w:val="32"/>
          <w:lang w:eastAsia="zh-CN"/>
        </w:rPr>
        <w:t>环保、水利、食品等领域专业人员</w:t>
      </w:r>
      <w:r>
        <w:rPr>
          <w:rFonts w:hint="eastAsia" w:ascii="仿宋_GB2312" w:hAnsi="仿宋_GB2312" w:eastAsia="仿宋_GB2312" w:cs="仿宋_GB2312"/>
          <w:color w:val="auto"/>
          <w:sz w:val="32"/>
          <w:lang w:val="en-US" w:eastAsia="zh-CN"/>
        </w:rPr>
        <w:t>5人为特邀检察官助理</w:t>
      </w:r>
      <w:r>
        <w:rPr>
          <w:rFonts w:hint="default" w:ascii="Calibri" w:hAnsi="Calibri" w:eastAsia="仿宋_GB2312" w:cs="Calibri"/>
          <w:sz w:val="32"/>
          <w:szCs w:val="32"/>
          <w:vertAlign w:val="superscript"/>
        </w:rPr>
        <w:t>⑤</w:t>
      </w:r>
      <w:r>
        <w:rPr>
          <w:rFonts w:hint="eastAsia" w:ascii="仿宋_GB2312" w:hAnsi="仿宋_GB2312" w:eastAsia="仿宋_GB2312" w:cs="仿宋_GB2312"/>
          <w:color w:val="auto"/>
          <w:sz w:val="32"/>
          <w:lang w:val="en-US" w:eastAsia="zh-CN"/>
        </w:rPr>
        <w:t>，为检察机关在办理各领域案件时提供合理化建议和专业技术支持。</w:t>
      </w:r>
      <w:r>
        <w:rPr>
          <w:rFonts w:hint="eastAsia" w:ascii="仿宋_GB2312" w:hAnsi="仿宋_GB2312" w:eastAsia="仿宋_GB2312" w:cs="仿宋_GB2312"/>
          <w:b w:val="0"/>
          <w:bCs w:val="0"/>
          <w:color w:val="auto"/>
          <w:sz w:val="32"/>
          <w:szCs w:val="32"/>
          <w:lang w:val="en-US" w:eastAsia="zh-CN"/>
        </w:rPr>
        <w:t>监督办理的跨省非法倾倒危险废弃物污染沂江河环境案，经磋商当事人承担修复费用2600余万元，</w:t>
      </w:r>
      <w:r>
        <w:rPr>
          <w:rFonts w:hint="eastAsia" w:ascii="仿宋_GB2312" w:hAnsi="仿宋_GB2312" w:eastAsia="仿宋_GB2312" w:cs="仿宋_GB2312"/>
          <w:color w:val="auto"/>
          <w:sz w:val="32"/>
          <w:szCs w:val="32"/>
          <w:lang w:val="en-US" w:eastAsia="zh-CN"/>
        </w:rPr>
        <w:t>被省检察院、省生态环境厅评为典型案例，并得到最高检关注。</w:t>
      </w:r>
    </w:p>
    <w:p w14:paraId="6E3E198B">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楷体_GB2312" w:eastAsia="楷体_GB2312"/>
          <w:b w:val="0"/>
          <w:bCs w:val="0"/>
          <w:color w:val="000000"/>
          <w:sz w:val="32"/>
          <w:szCs w:val="32"/>
          <w:lang w:eastAsia="zh-CN"/>
        </w:rPr>
        <w:t>不断提升监督质效。</w:t>
      </w:r>
      <w:r>
        <w:rPr>
          <w:rFonts w:hint="eastAsia" w:ascii="仿宋_GB2312" w:hAnsi="仿宋_GB2312" w:eastAsia="仿宋_GB2312" w:cs="仿宋_GB2312"/>
          <w:color w:val="000000"/>
          <w:kern w:val="0"/>
          <w:sz w:val="32"/>
          <w:szCs w:val="32"/>
          <w:lang w:val="en-US" w:eastAsia="zh-CN"/>
        </w:rPr>
        <w:t>改进业务分析研判机制，推动把监督重心放到提质量、增效率、强效果上。加大介入侦查引导取证、自行补充侦查力度，严格控制退回补充侦查和延长审查起诉期限，推动案件比</w:t>
      </w:r>
      <w:r>
        <w:rPr>
          <w:rFonts w:hint="default" w:ascii="Calibri" w:hAnsi="Calibri" w:eastAsia="仿宋_GB2312" w:cs="Calibri"/>
          <w:sz w:val="32"/>
          <w:szCs w:val="32"/>
          <w:vertAlign w:val="superscript"/>
        </w:rPr>
        <w:t>⑥</w:t>
      </w:r>
      <w:r>
        <w:rPr>
          <w:rFonts w:hint="eastAsia" w:ascii="仿宋_GB2312" w:hAnsi="仿宋_GB2312" w:eastAsia="仿宋_GB2312" w:cs="仿宋_GB2312"/>
          <w:color w:val="000000"/>
          <w:kern w:val="0"/>
          <w:sz w:val="32"/>
          <w:szCs w:val="32"/>
          <w:lang w:val="en-US" w:eastAsia="zh-CN"/>
        </w:rPr>
        <w:t>下降至1:1.06，减少非必要办案环节402个，办案质效为历史最好。致力于解决“案结事不了”“程序空转”问题，把释法说理、化解矛盾纳入司法责任、贯彻始终，息诉罢访率为100%。关心、关注弱势社会群体的权益保护，办理农民讨薪、未成年人抚养费追讨支持起诉案件9件9人。</w:t>
      </w:r>
      <w:r>
        <w:rPr>
          <w:rFonts w:hint="eastAsia" w:ascii="仿宋_GB2312" w:hAnsi="仿宋_GB2312" w:eastAsia="仿宋_GB2312" w:cs="仿宋_GB2312"/>
          <w:color w:val="auto"/>
          <w:kern w:val="0"/>
          <w:sz w:val="32"/>
          <w:szCs w:val="32"/>
          <w:lang w:val="en-US" w:eastAsia="zh-CN"/>
        </w:rPr>
        <w:t>办理的支持</w:t>
      </w:r>
      <w:r>
        <w:rPr>
          <w:rFonts w:hint="eastAsia" w:ascii="仿宋_GB2312" w:hAnsi="仿宋_GB2312" w:eastAsia="仿宋_GB2312" w:cs="仿宋_GB2312"/>
          <w:color w:val="auto"/>
          <w:sz w:val="32"/>
          <w:szCs w:val="32"/>
          <w:lang w:val="en-US" w:eastAsia="zh-CN"/>
        </w:rPr>
        <w:t>陈某某与江西某农业科技公司追索劳动报酬纠纷支持起诉案</w:t>
      </w:r>
      <w:r>
        <w:rPr>
          <w:rFonts w:hint="eastAsia" w:ascii="仿宋_GB2312" w:hAnsi="仿宋_GB2312" w:eastAsia="仿宋_GB2312" w:cs="仿宋_GB2312"/>
          <w:b w:val="0"/>
          <w:bCs w:val="0"/>
          <w:color w:val="auto"/>
          <w:sz w:val="32"/>
          <w:szCs w:val="32"/>
          <w:lang w:val="en-US" w:eastAsia="zh-CN"/>
        </w:rPr>
        <w:t>，获评江西省检察机关支持农民工讨薪典型案例和江西省10起违反《保障农民工工资支付条例》典型案例</w:t>
      </w:r>
      <w:r>
        <w:rPr>
          <w:rFonts w:hint="eastAsia" w:ascii="仿宋_GB2312" w:hAnsi="仿宋_GB2312" w:eastAsia="仿宋_GB2312" w:cs="仿宋_GB2312"/>
          <w:b w:val="0"/>
          <w:bCs w:val="0"/>
          <w:color w:val="auto"/>
          <w:kern w:val="0"/>
          <w:sz w:val="32"/>
          <w:szCs w:val="32"/>
          <w:lang w:val="en-US" w:eastAsia="zh-CN"/>
        </w:rPr>
        <w:t>。</w:t>
      </w:r>
    </w:p>
    <w:p w14:paraId="71CA18E0">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 w:hAnsi="仿宋" w:eastAsia="仿宋" w:cs="仿宋"/>
          <w:b w:val="0"/>
          <w:bCs w:val="0"/>
          <w:color w:val="000000"/>
          <w:sz w:val="32"/>
          <w:szCs w:val="32"/>
          <w:highlight w:val="none"/>
          <w:lang w:eastAsia="zh-CN"/>
        </w:rPr>
      </w:pPr>
      <w:r>
        <w:rPr>
          <w:rFonts w:hint="eastAsia" w:ascii="黑体" w:hAnsi="黑体" w:eastAsia="黑体" w:cs="黑体"/>
          <w:b w:val="0"/>
          <w:bCs w:val="0"/>
          <w:color w:val="000000"/>
          <w:sz w:val="32"/>
          <w:szCs w:val="32"/>
          <w:lang w:eastAsia="zh-CN"/>
        </w:rPr>
        <w:t>四、着眼强基固本，在全面从严治党中锻造过硬检察队伍</w:t>
      </w:r>
    </w:p>
    <w:p w14:paraId="4545B399">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Calibri" w:eastAsia="仿宋_GB2312"/>
          <w:color w:val="000000"/>
          <w:sz w:val="32"/>
          <w:szCs w:val="32"/>
          <w:lang w:val="en-US" w:eastAsia="zh-CN"/>
        </w:rPr>
      </w:pPr>
      <w:r>
        <w:rPr>
          <w:rFonts w:hint="eastAsia" w:ascii="楷体" w:hAnsi="楷体" w:eastAsia="楷体" w:cs="楷体"/>
          <w:color w:val="000000"/>
          <w:sz w:val="32"/>
          <w:szCs w:val="32"/>
          <w:lang w:eastAsia="zh-CN"/>
        </w:rPr>
        <w:t>坚持政治引领，</w:t>
      </w:r>
      <w:r>
        <w:rPr>
          <w:rFonts w:hint="eastAsia" w:ascii="楷体" w:hAnsi="楷体" w:eastAsia="楷体" w:cs="楷体"/>
          <w:sz w:val="32"/>
          <w:szCs w:val="32"/>
          <w:highlight w:val="none"/>
          <w:shd w:val="clear" w:color="auto" w:fill="auto"/>
          <w:lang w:eastAsia="zh-CN"/>
        </w:rPr>
        <w:t>筑牢政治忠诚。</w:t>
      </w:r>
      <w:r>
        <w:rPr>
          <w:rFonts w:hint="eastAsia" w:ascii="仿宋_GB2312" w:hAnsi="仿宋_GB2312" w:eastAsia="仿宋_GB2312" w:cs="仿宋_GB2312"/>
          <w:b w:val="0"/>
          <w:bCs w:val="0"/>
          <w:color w:val="000000"/>
          <w:sz w:val="32"/>
          <w:szCs w:val="32"/>
          <w:highlight w:val="none"/>
          <w:lang w:eastAsia="zh-CN"/>
        </w:rPr>
        <w:t>扎实开展</w:t>
      </w:r>
      <w:r>
        <w:rPr>
          <w:rFonts w:hint="eastAsia" w:ascii="仿宋_GB2312" w:hAnsi="仿宋_GB2312" w:eastAsia="仿宋_GB2312" w:cs="仿宋_GB2312"/>
          <w:b w:val="0"/>
          <w:bCs w:val="0"/>
          <w:color w:val="000000"/>
          <w:sz w:val="32"/>
          <w:szCs w:val="32"/>
          <w:lang w:eastAsia="zh-CN"/>
        </w:rPr>
        <w:t>党史学习教育活动，</w:t>
      </w:r>
      <w:r>
        <w:rPr>
          <w:rFonts w:hint="eastAsia" w:ascii="仿宋_GB2312" w:hAnsi="仿宋_GB2312" w:eastAsia="仿宋_GB2312" w:cs="仿宋_GB2312"/>
          <w:sz w:val="32"/>
          <w:szCs w:val="32"/>
          <w:highlight w:val="none"/>
          <w:shd w:val="clear" w:color="auto" w:fill="auto"/>
          <w:lang w:eastAsia="zh-CN"/>
        </w:rPr>
        <w:t>引导检察干警坚定理想信念、牢记初心使命、传承红色基因，大力弘扬伟大建党精神和井冈山精神。严格落实“第一议题”制度，学懂弄通悟透习近平新时代中国特色社会主义思想和习近平法治思想，深刻领悟党的十九届六中全会精神和习近平总书记“七一”重要讲话精神，及时跟进学习习近平总书记系列重要讲话精神。</w:t>
      </w:r>
      <w:r>
        <w:rPr>
          <w:rFonts w:hint="eastAsia" w:ascii="仿宋_GB2312" w:hAnsi="仿宋_GB2312" w:eastAsia="仿宋_GB2312" w:cs="仿宋_GB2312"/>
          <w:b w:val="0"/>
          <w:bCs w:val="0"/>
          <w:color w:val="000000"/>
          <w:sz w:val="32"/>
          <w:szCs w:val="32"/>
          <w:highlight w:val="none"/>
          <w:lang w:eastAsia="zh-CN"/>
        </w:rPr>
        <w:t>发挥党组把方向、管大局、抓落实的作用，</w:t>
      </w:r>
      <w:r>
        <w:rPr>
          <w:rFonts w:hint="eastAsia" w:ascii="仿宋_GB2312" w:hAnsi="仿宋_GB2312" w:eastAsia="仿宋_GB2312" w:cs="仿宋_GB2312"/>
          <w:sz w:val="32"/>
          <w:szCs w:val="32"/>
          <w:highlight w:val="none"/>
          <w:shd w:val="clear" w:color="auto" w:fill="auto"/>
          <w:lang w:eastAsia="zh-CN"/>
        </w:rPr>
        <w:t>贯彻落实</w:t>
      </w:r>
      <w:r>
        <w:rPr>
          <w:rFonts w:hint="eastAsia" w:ascii="仿宋_GB2312" w:hAnsi="仿宋_GB2312" w:eastAsia="仿宋_GB2312" w:cs="仿宋_GB2312"/>
          <w:b w:val="0"/>
          <w:bCs w:val="0"/>
          <w:color w:val="000000"/>
          <w:sz w:val="32"/>
          <w:szCs w:val="32"/>
          <w:highlight w:val="none"/>
          <w:lang w:eastAsia="zh-CN"/>
        </w:rPr>
        <w:t>《中国共产党政法工作条例》，对标党中央决策部署和省市县委、上级检察院工作要求，不折不扣抓好落实。</w:t>
      </w:r>
      <w:r>
        <w:rPr>
          <w:rFonts w:hint="eastAsia" w:ascii="仿宋_GB2312" w:hAnsi="仿宋_GB2312" w:eastAsia="仿宋_GB2312" w:cs="仿宋_GB2312"/>
          <w:sz w:val="32"/>
          <w:szCs w:val="32"/>
          <w:highlight w:val="none"/>
          <w:shd w:val="clear" w:color="auto" w:fill="auto"/>
          <w:lang w:eastAsia="zh-CN"/>
        </w:rPr>
        <w:t>严格落实意识形态工作责任制，引导干警在筑牢政治忠诚中捍卫“两个确</w:t>
      </w:r>
      <w:r>
        <w:rPr>
          <w:rFonts w:hint="eastAsia" w:ascii="仿宋_GB2312" w:hAnsi="仿宋_GB2312" w:eastAsia="仿宋_GB2312" w:cs="仿宋_GB2312"/>
          <w:sz w:val="32"/>
          <w:szCs w:val="32"/>
          <w:highlight w:val="none"/>
          <w:shd w:val="clear" w:color="auto" w:fill="auto"/>
          <w:lang w:val="en-US" w:eastAsia="zh-CN"/>
        </w:rPr>
        <w:t>立</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b w:val="0"/>
          <w:bCs w:val="0"/>
          <w:color w:val="000000"/>
          <w:sz w:val="32"/>
          <w:szCs w:val="32"/>
          <w:highlight w:val="none"/>
          <w:lang w:eastAsia="zh-CN"/>
        </w:rPr>
        <w:t>做到“两个维护”</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color w:val="000000"/>
          <w:sz w:val="32"/>
          <w:szCs w:val="32"/>
          <w:lang w:eastAsia="zh-CN"/>
        </w:rPr>
        <w:t>把旗帜鲜明讲政治自觉融入司法办案中，落实到日常</w:t>
      </w:r>
      <w:r>
        <w:rPr>
          <w:rFonts w:hint="eastAsia" w:ascii="仿宋_GB2312" w:hAnsi="仿宋_GB2312" w:eastAsia="仿宋_GB2312" w:cs="仿宋_GB2312"/>
          <w:color w:val="000000"/>
          <w:sz w:val="32"/>
          <w:szCs w:val="32"/>
        </w:rPr>
        <w:t>具体检察工作中</w:t>
      </w:r>
      <w:r>
        <w:rPr>
          <w:rFonts w:hint="eastAsia" w:ascii="仿宋_GB2312" w:hAnsi="仿宋_GB2312" w:eastAsia="仿宋_GB2312" w:cs="仿宋_GB2312"/>
          <w:color w:val="000000"/>
          <w:sz w:val="32"/>
          <w:szCs w:val="32"/>
          <w:lang w:val="en-US" w:eastAsia="zh-CN"/>
        </w:rPr>
        <w:t>。</w:t>
      </w:r>
    </w:p>
    <w:p w14:paraId="53315365">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坚持</w:t>
      </w:r>
      <w:r>
        <w:rPr>
          <w:rFonts w:hint="eastAsia" w:ascii="楷体" w:hAnsi="楷体" w:eastAsia="楷体" w:cs="楷体"/>
          <w:sz w:val="32"/>
          <w:szCs w:val="32"/>
          <w:lang w:eastAsia="zh-CN"/>
        </w:rPr>
        <w:t>从严治检</w:t>
      </w:r>
      <w:r>
        <w:rPr>
          <w:rFonts w:hint="eastAsia" w:ascii="楷体" w:hAnsi="楷体" w:eastAsia="楷体" w:cs="楷体"/>
          <w:sz w:val="32"/>
          <w:szCs w:val="32"/>
        </w:rPr>
        <w:t>，</w:t>
      </w:r>
      <w:r>
        <w:rPr>
          <w:rFonts w:hint="eastAsia" w:ascii="楷体" w:hAnsi="楷体" w:eastAsia="楷体" w:cs="楷体"/>
          <w:b w:val="0"/>
          <w:bCs w:val="0"/>
          <w:color w:val="000000"/>
          <w:sz w:val="32"/>
          <w:szCs w:val="32"/>
          <w:lang w:eastAsia="zh-CN"/>
        </w:rPr>
        <w:t>整治顽瘴痼疾</w:t>
      </w:r>
      <w:r>
        <w:rPr>
          <w:rFonts w:hint="eastAsia" w:ascii="楷体" w:hAnsi="楷体" w:eastAsia="楷体" w:cs="楷体"/>
          <w:sz w:val="32"/>
          <w:szCs w:val="32"/>
          <w:lang w:eastAsia="zh-CN"/>
        </w:rPr>
        <w:t>。</w:t>
      </w:r>
      <w:r>
        <w:rPr>
          <w:rFonts w:hint="eastAsia" w:ascii="仿宋_GB2312" w:hAnsi="仿宋_GB2312" w:eastAsia="仿宋_GB2312" w:cs="仿宋_GB2312"/>
          <w:b w:val="0"/>
          <w:bCs w:val="0"/>
          <w:sz w:val="32"/>
          <w:szCs w:val="32"/>
        </w:rPr>
        <w:t>扎实开展队伍教育整顿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围绕“五个过硬”要求，</w:t>
      </w:r>
      <w:r>
        <w:rPr>
          <w:rFonts w:hint="eastAsia" w:ascii="仿宋_GB2312" w:hAnsi="仿宋_GB2312" w:eastAsia="仿宋_GB2312" w:cs="仿宋_GB2312"/>
          <w:sz w:val="32"/>
          <w:szCs w:val="32"/>
          <w:lang w:eastAsia="zh-CN"/>
        </w:rPr>
        <w:t>严格落实“自查从宽、被查从严”政策，坚持问题导向，刀刃向内，动真碰硬</w:t>
      </w:r>
      <w:r>
        <w:rPr>
          <w:rFonts w:hint="eastAsia" w:ascii="仿宋_GB2312" w:hAnsi="仿宋_GB2312" w:eastAsia="仿宋_GB2312" w:cs="仿宋_GB2312"/>
          <w:b w:val="0"/>
          <w:bCs w:val="0"/>
          <w:color w:val="000000"/>
          <w:sz w:val="32"/>
          <w:szCs w:val="32"/>
          <w:lang w:eastAsia="zh-CN"/>
        </w:rPr>
        <w:t>整治顽瘴痼疾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深入开展自查自纠和组织查处，认定影响执法司法突出问题</w:t>
      </w:r>
      <w:r>
        <w:rPr>
          <w:rFonts w:hint="eastAsia" w:ascii="仿宋_GB2312" w:hAnsi="仿宋_GB2312" w:eastAsia="仿宋_GB2312" w:cs="仿宋_GB2312"/>
          <w:color w:val="000000"/>
          <w:sz w:val="32"/>
          <w:szCs w:val="32"/>
          <w:lang w:val="en-US" w:eastAsia="zh-CN"/>
        </w:rPr>
        <w:t>35个，全部整改销号。</w:t>
      </w:r>
      <w:r>
        <w:rPr>
          <w:rFonts w:hint="eastAsia" w:ascii="仿宋_GB2312" w:hAnsi="仿宋_GB2312" w:eastAsia="仿宋_GB2312" w:cs="仿宋_GB2312"/>
          <w:b w:val="0"/>
          <w:bCs w:val="0"/>
          <w:color w:val="000000"/>
          <w:sz w:val="32"/>
          <w:szCs w:val="32"/>
          <w:highlight w:val="none"/>
          <w:lang w:eastAsia="zh-CN"/>
        </w:rPr>
        <w:t>深刻汲取政法系统违法违纪案件教训，开展政治谈话，警醒检察干警严守政治纪律和政治规矩。</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干预司法</w:t>
      </w:r>
      <w:r>
        <w:rPr>
          <w:rFonts w:hint="eastAsia" w:ascii="仿宋_GB2312" w:hAnsi="仿宋_GB2312" w:eastAsia="仿宋_GB2312" w:cs="仿宋_GB2312"/>
          <w:sz w:val="32"/>
          <w:szCs w:val="32"/>
        </w:rPr>
        <w:t>“三个规定”，</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形成长效机制</w:t>
      </w:r>
      <w:r>
        <w:rPr>
          <w:rFonts w:hint="eastAsia" w:ascii="仿宋_GB2312" w:hAnsi="仿宋_GB2312" w:eastAsia="仿宋_GB2312" w:cs="仿宋_GB2312"/>
          <w:sz w:val="32"/>
          <w:szCs w:val="32"/>
          <w:lang w:eastAsia="zh-CN"/>
        </w:rPr>
        <w:t>。以作风建设提升百日攻坚活动为契机，聚集“怕慢假庸散”、工作落实不力等</w:t>
      </w:r>
      <w:r>
        <w:rPr>
          <w:rFonts w:hint="eastAsia" w:ascii="仿宋_GB2312" w:hAnsi="仿宋_GB2312" w:eastAsia="仿宋_GB2312" w:cs="仿宋_GB2312"/>
          <w:b w:val="0"/>
          <w:bCs w:val="0"/>
          <w:color w:val="000000"/>
          <w:sz w:val="32"/>
          <w:szCs w:val="32"/>
          <w:lang w:eastAsia="zh-CN"/>
        </w:rPr>
        <w:t>突出问题，深入查摆分析，建立问题清单，抓本治源，建章立制，对短板弱项，实行项目化管理，突出效果提升效能。</w:t>
      </w:r>
      <w:r>
        <w:rPr>
          <w:rFonts w:hint="eastAsia" w:ascii="仿宋_GB2312" w:hAnsi="仿宋_GB2312" w:eastAsia="仿宋_GB2312" w:cs="仿宋_GB2312"/>
          <w:sz w:val="32"/>
          <w:szCs w:val="32"/>
        </w:rPr>
        <w:t>落实案件质量评查制度，共对</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件案件开展质量评查，</w:t>
      </w:r>
      <w:r>
        <w:rPr>
          <w:rFonts w:hint="eastAsia" w:ascii="仿宋_GB2312" w:hAnsi="仿宋_GB2312" w:eastAsia="仿宋_GB2312" w:cs="仿宋_GB2312"/>
          <w:sz w:val="32"/>
          <w:szCs w:val="32"/>
          <w:lang w:val="en-US" w:eastAsia="zh-CN"/>
        </w:rPr>
        <w:t>发现问题18个，均已及时整改到位。</w:t>
      </w:r>
    </w:p>
    <w:p w14:paraId="514042D9">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val="0"/>
          <w:bCs w:val="0"/>
          <w:color w:val="000000"/>
          <w:sz w:val="32"/>
          <w:szCs w:val="32"/>
          <w:lang w:eastAsia="zh-CN"/>
        </w:rPr>
        <w:t>坚持业务立检，政治建设与业务建设统筹推进</w:t>
      </w:r>
      <w:r>
        <w:rPr>
          <w:rFonts w:hint="eastAsia" w:ascii="楷体_GB2312" w:eastAsia="楷体_GB2312"/>
          <w:b w:val="0"/>
          <w:bCs w:val="0"/>
          <w:color w:val="000000"/>
          <w:sz w:val="32"/>
          <w:szCs w:val="32"/>
        </w:rPr>
        <w:t>。</w:t>
      </w:r>
      <w:r>
        <w:rPr>
          <w:rFonts w:hint="eastAsia" w:ascii="仿宋_GB2312" w:hAnsi="仿宋_GB2312" w:eastAsia="仿宋_GB2312" w:cs="仿宋_GB2312"/>
          <w:color w:val="000000"/>
          <w:sz w:val="32"/>
          <w:szCs w:val="32"/>
        </w:rPr>
        <w:t>深</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学习领会《</w:t>
      </w:r>
      <w:r>
        <w:rPr>
          <w:rFonts w:hint="eastAsia" w:ascii="仿宋_GB2312" w:hAnsi="仿宋_GB2312" w:eastAsia="仿宋_GB2312" w:cs="仿宋_GB2312"/>
          <w:color w:val="000000"/>
          <w:sz w:val="32"/>
          <w:szCs w:val="32"/>
          <w:lang w:eastAsia="zh-CN"/>
        </w:rPr>
        <w:t>中共中央关于加强新时代检察机关法律监督工作的意见</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的精髓要义，强化检察职能发挥的同时，教育引导检察干警</w:t>
      </w:r>
      <w:r>
        <w:rPr>
          <w:rFonts w:hint="eastAsia" w:ascii="仿宋_GB2312" w:hAnsi="仿宋_GB2312" w:eastAsia="仿宋_GB2312" w:cs="仿宋_GB2312"/>
          <w:color w:val="000000"/>
          <w:sz w:val="32"/>
          <w:szCs w:val="32"/>
        </w:rPr>
        <w:t>从政治上看</w:t>
      </w:r>
      <w:r>
        <w:rPr>
          <w:rFonts w:hint="eastAsia" w:ascii="仿宋_GB2312" w:hAnsi="仿宋_GB2312" w:eastAsia="仿宋_GB2312" w:cs="仿宋_GB2312"/>
          <w:color w:val="000000"/>
          <w:sz w:val="32"/>
          <w:szCs w:val="32"/>
          <w:lang w:eastAsia="zh-CN"/>
        </w:rPr>
        <w:t>检察业务，在检察业务中体现政治要求，通过依法履职更全面、有效承担起检察机关的政治责任、法治责任和检察责任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推动</w:t>
      </w:r>
      <w:r>
        <w:rPr>
          <w:rFonts w:hint="eastAsia" w:ascii="仿宋_GB2312" w:hAnsi="仿宋_GB2312" w:eastAsia="仿宋_GB2312" w:cs="仿宋_GB2312"/>
          <w:color w:val="000000"/>
          <w:sz w:val="32"/>
          <w:szCs w:val="32"/>
        </w:rPr>
        <w:t>政治建设与业务建设深度融合</w:t>
      </w:r>
      <w:r>
        <w:rPr>
          <w:rFonts w:hint="eastAsia" w:ascii="仿宋_GB2312" w:hAnsi="仿宋_GB2312" w:eastAsia="仿宋_GB2312" w:cs="仿宋_GB2312"/>
          <w:color w:val="000000"/>
          <w:sz w:val="32"/>
          <w:szCs w:val="32"/>
          <w:lang w:eastAsia="zh-CN"/>
        </w:rPr>
        <w:t>。以业绩考核为导向，充分发挥检察官业绩考核指挥棒作用，紧盯核心业务数据，围绕案件质量评价指标，每月定期召开业务分析会商调度会，针对业务短板弱项，强化调度，责任到人，实行销号管理。</w:t>
      </w:r>
      <w:r>
        <w:rPr>
          <w:rFonts w:hint="eastAsia" w:ascii="仿宋_GB2312" w:hAnsi="仿宋_GB2312" w:eastAsia="仿宋_GB2312" w:cs="仿宋_GB2312"/>
          <w:b w:val="0"/>
          <w:bCs w:val="0"/>
          <w:color w:val="000000"/>
          <w:sz w:val="32"/>
          <w:szCs w:val="32"/>
          <w:lang w:eastAsia="zh-CN"/>
        </w:rPr>
        <w:t>严格落实司法责任，突出员额检察官办案主体责任，抓实业绩考评，“关键少数”</w:t>
      </w:r>
      <w:r>
        <w:rPr>
          <w:rFonts w:hint="eastAsia" w:ascii="仿宋_GB2312" w:hAnsi="仿宋_GB2312" w:eastAsia="仿宋_GB2312" w:cs="仿宋_GB2312"/>
          <w:sz w:val="32"/>
          <w:szCs w:val="32"/>
          <w:lang w:val="en-US" w:eastAsia="zh-CN"/>
        </w:rPr>
        <w:t>入额院领导带头办理重大疑难复杂案件，入额院领导共办理案件536件，占比达56.54%。坚持学用结合，加大线上线下培训力度，强化实战实训和岗位练兵，着力培养办案能手。</w:t>
      </w:r>
    </w:p>
    <w:p w14:paraId="552962F1">
      <w:pPr>
        <w:keepNext w:val="0"/>
        <w:keepLines w:val="0"/>
        <w:pageBreakBefore w:val="0"/>
        <w:widowControl w:val="0"/>
        <w:numPr>
          <w:ilvl w:val="0"/>
          <w:numId w:val="1"/>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注重开放透明，在接受监督中提升检察公信力</w:t>
      </w:r>
    </w:p>
    <w:p w14:paraId="6E4080A5">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楷体_GB2312" w:eastAsia="楷体_GB2312"/>
          <w:b w:val="0"/>
          <w:bCs w:val="0"/>
          <w:color w:val="000000"/>
          <w:sz w:val="32"/>
          <w:szCs w:val="32"/>
          <w:lang w:eastAsia="zh-CN"/>
        </w:rPr>
        <w:t>深化推进检务公开。</w:t>
      </w:r>
      <w:r>
        <w:rPr>
          <w:rFonts w:hint="eastAsia" w:ascii="仿宋_GB2312" w:eastAsia="仿宋_GB2312"/>
          <w:sz w:val="32"/>
          <w:szCs w:val="32"/>
          <w:lang w:eastAsia="zh-CN"/>
        </w:rPr>
        <w:t>通过</w:t>
      </w:r>
      <w:r>
        <w:rPr>
          <w:rFonts w:hint="eastAsia" w:ascii="仿宋_GB2312" w:eastAsia="仿宋_GB2312"/>
          <w:sz w:val="32"/>
          <w:szCs w:val="32"/>
          <w:lang w:val="en-US" w:eastAsia="zh-CN"/>
        </w:rPr>
        <w:t>12309检察服务平台</w:t>
      </w:r>
      <w:r>
        <w:rPr>
          <w:rFonts w:hint="eastAsia" w:ascii="仿宋_GB2312" w:eastAsia="仿宋_GB2312"/>
          <w:sz w:val="32"/>
          <w:szCs w:val="32"/>
          <w:lang w:eastAsia="zh-CN"/>
        </w:rPr>
        <w:t>公开重要案件信息</w:t>
      </w:r>
      <w:r>
        <w:rPr>
          <w:rFonts w:hint="eastAsia" w:ascii="仿宋_GB2312" w:eastAsia="仿宋_GB2312"/>
          <w:sz w:val="32"/>
          <w:szCs w:val="32"/>
          <w:lang w:val="en-US" w:eastAsia="zh-CN"/>
        </w:rPr>
        <w:t>21</w:t>
      </w:r>
      <w:r>
        <w:rPr>
          <w:rFonts w:hint="eastAsia" w:ascii="仿宋_GB2312" w:eastAsia="仿宋_GB2312"/>
          <w:sz w:val="32"/>
          <w:szCs w:val="32"/>
          <w:lang w:eastAsia="zh-CN"/>
        </w:rPr>
        <w:t>条、法律文书</w:t>
      </w:r>
      <w:r>
        <w:rPr>
          <w:rFonts w:hint="eastAsia" w:ascii="仿宋_GB2312" w:eastAsia="仿宋_GB2312"/>
          <w:sz w:val="32"/>
          <w:szCs w:val="32"/>
          <w:lang w:val="en-US" w:eastAsia="zh-CN"/>
        </w:rPr>
        <w:t>306</w:t>
      </w:r>
      <w:r>
        <w:rPr>
          <w:rFonts w:hint="eastAsia" w:ascii="仿宋_GB2312" w:eastAsia="仿宋_GB2312"/>
          <w:sz w:val="32"/>
          <w:szCs w:val="32"/>
          <w:lang w:eastAsia="zh-CN"/>
        </w:rPr>
        <w:t>份、程序性信息</w:t>
      </w:r>
      <w:r>
        <w:rPr>
          <w:rFonts w:hint="eastAsia" w:ascii="仿宋_GB2312" w:eastAsia="仿宋_GB2312"/>
          <w:sz w:val="32"/>
          <w:szCs w:val="32"/>
          <w:lang w:val="en-US" w:eastAsia="zh-CN"/>
        </w:rPr>
        <w:t>563</w:t>
      </w:r>
      <w:r>
        <w:rPr>
          <w:rFonts w:hint="eastAsia" w:ascii="仿宋_GB2312" w:eastAsia="仿宋_GB2312"/>
          <w:sz w:val="32"/>
          <w:szCs w:val="32"/>
          <w:lang w:eastAsia="zh-CN"/>
        </w:rPr>
        <w:t>条。举办新闻发布会</w:t>
      </w:r>
      <w:r>
        <w:rPr>
          <w:rFonts w:hint="eastAsia" w:ascii="仿宋_GB2312" w:eastAsia="仿宋_GB2312"/>
          <w:sz w:val="32"/>
          <w:szCs w:val="32"/>
          <w:lang w:val="en-US" w:eastAsia="zh-CN"/>
        </w:rPr>
        <w:t>1次，</w:t>
      </w:r>
      <w:r>
        <w:rPr>
          <w:rFonts w:hint="eastAsia" w:ascii="仿宋_GB2312" w:eastAsia="仿宋_GB2312"/>
          <w:sz w:val="32"/>
          <w:szCs w:val="32"/>
          <w:lang w:eastAsia="zh-CN"/>
        </w:rPr>
        <w:t>通过门户网站、“两微一端”等自媒体及时发布检察工作动态</w:t>
      </w:r>
      <w:r>
        <w:rPr>
          <w:rFonts w:hint="eastAsia" w:ascii="仿宋_GB2312" w:eastAsia="仿宋_GB2312"/>
          <w:sz w:val="32"/>
          <w:szCs w:val="32"/>
          <w:lang w:val="en-US" w:eastAsia="zh-CN"/>
        </w:rPr>
        <w:t>200</w:t>
      </w:r>
      <w:r>
        <w:rPr>
          <w:rFonts w:hint="eastAsia" w:ascii="仿宋_GB2312" w:eastAsia="仿宋_GB2312"/>
          <w:sz w:val="32"/>
          <w:szCs w:val="32"/>
          <w:lang w:eastAsia="zh-CN"/>
        </w:rPr>
        <w:t>余条。</w:t>
      </w:r>
      <w:r>
        <w:rPr>
          <w:rFonts w:hint="eastAsia" w:ascii="仿宋_GB2312" w:eastAsia="仿宋_GB2312"/>
          <w:sz w:val="32"/>
          <w:szCs w:val="32"/>
          <w:lang w:val="en-US" w:eastAsia="zh-CN"/>
        </w:rPr>
        <w:t>推行审查案件听证制度，坚持“应听证尽听证”，对拟不起诉和司法救助等案件召开公开听证48次，让公平正义可触可感可信。</w:t>
      </w:r>
    </w:p>
    <w:p w14:paraId="4A0F401D">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b w:val="0"/>
          <w:bCs w:val="0"/>
          <w:color w:val="000000"/>
          <w:sz w:val="32"/>
          <w:szCs w:val="32"/>
          <w:lang w:eastAsia="zh-CN"/>
        </w:rPr>
        <w:t>自觉接受人大监督和民主监督。</w:t>
      </w:r>
      <w:r>
        <w:rPr>
          <w:rFonts w:hint="eastAsia" w:ascii="仿宋_GB2312" w:hAnsi="仿宋_GB2312" w:eastAsia="仿宋_GB2312" w:cs="仿宋_GB2312"/>
          <w:b w:val="0"/>
          <w:bCs w:val="0"/>
          <w:color w:val="000000"/>
          <w:sz w:val="32"/>
          <w:szCs w:val="32"/>
          <w:lang w:eastAsia="zh-CN"/>
        </w:rPr>
        <w:t>认真贯彻落实人大及其常委会决议决定和审议意见，</w:t>
      </w:r>
      <w:r>
        <w:rPr>
          <w:rFonts w:hint="eastAsia" w:ascii="仿宋_GB2312" w:hAnsi="仿宋_GB2312" w:eastAsia="仿宋_GB2312" w:cs="仿宋_GB2312"/>
          <w:sz w:val="32"/>
          <w:szCs w:val="32"/>
        </w:rPr>
        <w:t>主动向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人大</w:t>
      </w:r>
      <w:r>
        <w:rPr>
          <w:rFonts w:hint="eastAsia" w:ascii="仿宋_GB2312" w:hAnsi="仿宋_GB2312" w:eastAsia="仿宋_GB2312" w:cs="仿宋_GB2312"/>
          <w:sz w:val="32"/>
          <w:szCs w:val="32"/>
          <w:lang w:eastAsia="zh-CN"/>
        </w:rPr>
        <w:t>常委会</w:t>
      </w:r>
      <w:r>
        <w:rPr>
          <w:rFonts w:hint="eastAsia" w:ascii="仿宋_GB2312" w:hAnsi="仿宋_GB2312" w:eastAsia="仿宋_GB2312" w:cs="仿宋_GB2312"/>
          <w:sz w:val="32"/>
          <w:szCs w:val="32"/>
        </w:rPr>
        <w:t>报告工作，</w:t>
      </w:r>
      <w:r>
        <w:rPr>
          <w:rFonts w:hint="eastAsia" w:ascii="仿宋_GB2312" w:hAnsi="仿宋_GB2312" w:eastAsia="仿宋_GB2312" w:cs="仿宋_GB2312"/>
          <w:sz w:val="32"/>
          <w:szCs w:val="32"/>
          <w:lang w:val="en-US" w:eastAsia="zh-CN"/>
        </w:rPr>
        <w:t>认真梳理人大代表、政协委员及社会各界对检察工作的意见和建议，并逐项整改落实。开展主题检察开放日活动，邀请60多名人大代表、政协委员、企业家代表走进检察院，增进社会各界对检察工作的了解。向社会公布政法队伍教育整顿工作开展情况，邀请人民监督员监督办案13人次，监督检察权运行。</w:t>
      </w:r>
    </w:p>
    <w:p w14:paraId="382CCB75">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Calibri" w:eastAsia="仿宋_GB2312"/>
          <w:color w:val="000000"/>
          <w:sz w:val="32"/>
          <w:szCs w:val="32"/>
          <w:lang w:eastAsia="zh-CN"/>
        </w:rPr>
      </w:pPr>
      <w:r>
        <w:rPr>
          <w:rFonts w:hint="eastAsia" w:ascii="仿宋_GB2312" w:hAnsi="Calibri" w:eastAsia="仿宋_GB2312"/>
          <w:color w:val="000000"/>
          <w:sz w:val="32"/>
          <w:szCs w:val="32"/>
          <w:lang w:eastAsia="zh-CN"/>
        </w:rPr>
        <w:t>各位代表，回顾过去一年的工作，我们深切感受到，新干检察工作的发展进步，得益于县委的正确领导、县人大及其常委会的有力监督，以及县政府、县政协和社会各界的关心支持和帮助。在此，我代表县检察院全体干警致以衷心的感谢！</w:t>
      </w:r>
    </w:p>
    <w:p w14:paraId="5CDF2500">
      <w:pPr>
        <w:keepNext w:val="0"/>
        <w:keepLines w:val="0"/>
        <w:pageBreakBefore w:val="0"/>
        <w:widowControl w:val="0"/>
        <w:numPr>
          <w:ilvl w:val="0"/>
          <w:numId w:val="0"/>
        </w:numPr>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lang w:eastAsia="zh-CN"/>
        </w:rPr>
        <w:t>我们清醒认识到，我们的工作还存在一些问题和不足，主要是：服务大局的意识还有待于进一步增强；法律监督职能履行还不够充分，监督质效仍需进一步提升，特色亮点不多；</w:t>
      </w:r>
      <w:r>
        <w:rPr>
          <w:rFonts w:hint="eastAsia" w:ascii="仿宋_GB2312" w:hAnsi="Calibri" w:eastAsia="仿宋_GB2312"/>
          <w:b w:val="0"/>
          <w:bCs w:val="0"/>
          <w:color w:val="000000"/>
          <w:sz w:val="32"/>
          <w:szCs w:val="32"/>
          <w:lang w:eastAsia="zh-CN"/>
        </w:rPr>
        <w:t>新形势新任务新变化下，队伍素质有待于进一步提升，履职能力水平还有待于进一步提高。</w:t>
      </w:r>
      <w:r>
        <w:rPr>
          <w:rFonts w:hint="eastAsia" w:ascii="仿宋_GB2312" w:hAnsi="Calibri" w:eastAsia="仿宋_GB2312"/>
          <w:color w:val="000000"/>
          <w:sz w:val="32"/>
          <w:szCs w:val="32"/>
          <w:lang w:eastAsia="zh-CN"/>
        </w:rPr>
        <w:t>对此，我们将高度重视、久久为功，想办法加以解决。</w:t>
      </w:r>
    </w:p>
    <w:p w14:paraId="255158F3">
      <w:pPr>
        <w:keepNext w:val="0"/>
        <w:keepLines w:val="0"/>
        <w:pageBreakBefore w:val="0"/>
        <w:widowControl w:val="0"/>
        <w:pBdr>
          <w:bottom w:val="single" w:color="FFFFFF" w:sz="4" w:space="31"/>
        </w:pBdr>
        <w:kinsoku/>
        <w:wordWrap/>
        <w:overflowPunct/>
        <w:topLinePunct/>
        <w:autoSpaceDE w:val="0"/>
        <w:autoSpaceDN/>
        <w:bidi w:val="0"/>
        <w:adjustRightInd/>
        <w:snapToGrid w:val="0"/>
        <w:spacing w:before="157" w:beforeLines="50" w:after="157" w:afterLines="50" w:line="540" w:lineRule="exact"/>
        <w:ind w:left="0" w:leftChars="0" w:right="0" w:rightChars="0" w:firstLine="640" w:firstLineChars="200"/>
        <w:jc w:val="center"/>
        <w:textAlignment w:val="auto"/>
        <w:outlineLvl w:val="9"/>
        <w:rPr>
          <w:rFonts w:hint="eastAsia" w:ascii="黑体" w:eastAsia="黑体"/>
          <w:color w:val="000000"/>
          <w:sz w:val="32"/>
          <w:szCs w:val="32"/>
        </w:rPr>
      </w:pPr>
      <w:r>
        <w:rPr>
          <w:rFonts w:hint="eastAsia" w:ascii="黑体" w:eastAsia="黑体"/>
          <w:color w:val="000000"/>
          <w:sz w:val="32"/>
          <w:szCs w:val="32"/>
        </w:rPr>
        <w:t>2022年工作安排</w:t>
      </w:r>
    </w:p>
    <w:p w14:paraId="0E4DB2A0">
      <w:pPr>
        <w:keepNext w:val="0"/>
        <w:keepLines w:val="0"/>
        <w:pageBreakBefore w:val="0"/>
        <w:widowControl w:val="0"/>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黑体" w:eastAsia="黑体"/>
          <w:sz w:val="32"/>
          <w:szCs w:val="32"/>
        </w:rPr>
      </w:pPr>
      <w:r>
        <w:rPr>
          <w:rFonts w:hint="eastAsia" w:ascii="仿宋_GB2312" w:eastAsia="仿宋_GB2312"/>
          <w:color w:val="000000"/>
          <w:sz w:val="32"/>
          <w:szCs w:val="32"/>
        </w:rPr>
        <w:t>新的一年，</w:t>
      </w:r>
      <w:r>
        <w:rPr>
          <w:rFonts w:hint="eastAsia" w:ascii="仿宋_GB2312" w:hAnsi="Calibri" w:eastAsia="仿宋_GB2312"/>
          <w:color w:val="000000"/>
          <w:sz w:val="32"/>
          <w:szCs w:val="32"/>
          <w:lang w:eastAsia="zh-CN"/>
        </w:rPr>
        <w:t>我们</w:t>
      </w:r>
      <w:r>
        <w:rPr>
          <w:rFonts w:hint="eastAsia" w:ascii="仿宋_GB2312" w:eastAsia="仿宋_GB2312"/>
          <w:sz w:val="32"/>
          <w:szCs w:val="32"/>
        </w:rPr>
        <w:t>将</w:t>
      </w:r>
      <w:r>
        <w:rPr>
          <w:rFonts w:hint="eastAsia" w:ascii="黑体" w:hAnsi="黑体" w:eastAsia="黑体" w:cs="黑体"/>
          <w:sz w:val="32"/>
          <w:szCs w:val="32"/>
          <w:lang w:eastAsia="zh-CN"/>
        </w:rPr>
        <w:t>始终坚持</w:t>
      </w:r>
      <w:r>
        <w:rPr>
          <w:rFonts w:hint="eastAsia" w:ascii="黑体" w:hAnsi="黑体" w:eastAsia="黑体" w:cs="黑体"/>
          <w:sz w:val="32"/>
          <w:szCs w:val="32"/>
        </w:rPr>
        <w:t>以习近平新时代中国特色社会主义思想为指导，</w:t>
      </w:r>
      <w:r>
        <w:rPr>
          <w:rFonts w:hint="eastAsia" w:ascii="黑体" w:hAnsi="黑体" w:eastAsia="黑体" w:cs="黑体"/>
          <w:sz w:val="32"/>
          <w:szCs w:val="32"/>
          <w:lang w:eastAsia="zh-CN"/>
        </w:rPr>
        <w:t>深入贯彻落实习近平法治思想和</w:t>
      </w:r>
      <w:r>
        <w:rPr>
          <w:rFonts w:hint="eastAsia" w:ascii="黑体" w:hAnsi="黑体" w:eastAsia="黑体" w:cs="黑体"/>
          <w:sz w:val="32"/>
          <w:szCs w:val="32"/>
        </w:rPr>
        <w:t>习近平总书记视察江西时的重要讲话精神</w:t>
      </w:r>
      <w:r>
        <w:rPr>
          <w:rFonts w:hint="eastAsia" w:ascii="黑体" w:hAnsi="黑体" w:eastAsia="黑体" w:cs="黑体"/>
          <w:sz w:val="32"/>
          <w:szCs w:val="32"/>
          <w:lang w:eastAsia="zh-CN"/>
        </w:rPr>
        <w:t>，</w:t>
      </w:r>
      <w:r>
        <w:rPr>
          <w:rFonts w:hint="eastAsia" w:ascii="黑体" w:eastAsia="黑体"/>
          <w:sz w:val="32"/>
          <w:szCs w:val="32"/>
        </w:rPr>
        <w:t>大力弘扬伟大建党精神和井冈山精神，以贯彻落实《中共中央关于加强新时代检察机关法律监督工作的意见》和全国检察长会议精神为统领，</w:t>
      </w:r>
      <w:r>
        <w:rPr>
          <w:rFonts w:hint="eastAsia" w:ascii="黑体" w:hAnsi="黑体" w:eastAsia="黑体" w:cs="黑体"/>
          <w:sz w:val="32"/>
          <w:szCs w:val="32"/>
          <w:lang w:eastAsia="zh-CN"/>
        </w:rPr>
        <w:t>以服务保障党的二十大胜利召开为主线，</w:t>
      </w:r>
      <w:r>
        <w:rPr>
          <w:rFonts w:hint="eastAsia" w:ascii="黑体" w:hAnsi="黑体" w:eastAsia="黑体" w:cs="黑体"/>
          <w:sz w:val="32"/>
          <w:szCs w:val="32"/>
        </w:rPr>
        <w:t>以“规范立院、文化兴院、素质强院”为工作思路，以提升监督质效为抓手，</w:t>
      </w:r>
      <w:r>
        <w:rPr>
          <w:rFonts w:hint="eastAsia" w:ascii="黑体" w:hAnsi="黑体" w:eastAsia="黑体" w:cs="黑体"/>
          <w:sz w:val="32"/>
          <w:szCs w:val="32"/>
          <w:lang w:eastAsia="zh-CN"/>
        </w:rPr>
        <w:t>紧扣作示范、勇争先的</w:t>
      </w:r>
      <w:r>
        <w:rPr>
          <w:rFonts w:hint="eastAsia" w:ascii="黑体" w:hAnsi="黑体" w:eastAsia="黑体" w:cs="黑体"/>
          <w:sz w:val="32"/>
          <w:szCs w:val="32"/>
        </w:rPr>
        <w:t>目标</w:t>
      </w:r>
      <w:r>
        <w:rPr>
          <w:rFonts w:hint="eastAsia" w:ascii="黑体" w:hAnsi="黑体" w:eastAsia="黑体" w:cs="黑体"/>
          <w:sz w:val="32"/>
          <w:szCs w:val="32"/>
          <w:lang w:eastAsia="zh-CN"/>
        </w:rPr>
        <w:t>要求</w:t>
      </w:r>
      <w:r>
        <w:rPr>
          <w:rFonts w:hint="eastAsia" w:ascii="黑体" w:hAnsi="黑体" w:eastAsia="黑体" w:cs="黑体"/>
          <w:sz w:val="32"/>
          <w:szCs w:val="32"/>
        </w:rPr>
        <w:t>，突出政</w:t>
      </w:r>
      <w:r>
        <w:rPr>
          <w:rFonts w:hint="eastAsia" w:ascii="黑体" w:eastAsia="黑体"/>
          <w:sz w:val="32"/>
          <w:szCs w:val="32"/>
        </w:rPr>
        <w:t>治引领，聚焦主责主业，推进“四大检察”融合发展，努力为描绘新时代新干大改革大发展新画卷</w:t>
      </w:r>
      <w:r>
        <w:rPr>
          <w:rFonts w:hint="eastAsia" w:ascii="黑体" w:eastAsia="黑体"/>
          <w:sz w:val="32"/>
          <w:szCs w:val="32"/>
          <w:lang w:eastAsia="zh-CN"/>
        </w:rPr>
        <w:t>贡献检察力量和智慧。</w:t>
      </w:r>
    </w:p>
    <w:p w14:paraId="5560A20C">
      <w:pPr>
        <w:keepNext w:val="0"/>
        <w:keepLines w:val="0"/>
        <w:pageBreakBefore w:val="0"/>
        <w:widowControl w:val="0"/>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color w:val="000000"/>
          <w:sz w:val="32"/>
          <w:szCs w:val="32"/>
        </w:rPr>
        <w:t>一是</w:t>
      </w:r>
      <w:r>
        <w:rPr>
          <w:rFonts w:hint="eastAsia" w:ascii="楷体" w:hAnsi="楷体" w:eastAsia="楷体" w:cs="楷体"/>
          <w:color w:val="000000"/>
          <w:sz w:val="32"/>
          <w:szCs w:val="32"/>
          <w:lang w:eastAsia="zh-CN"/>
        </w:rPr>
        <w:t>以更强定力坚持正确政治方向</w:t>
      </w:r>
      <w:r>
        <w:rPr>
          <w:rFonts w:hint="eastAsia" w:ascii="楷体" w:hAnsi="楷体" w:eastAsia="楷体" w:cs="楷体"/>
          <w:color w:val="000000"/>
          <w:sz w:val="32"/>
          <w:szCs w:val="32"/>
        </w:rPr>
        <w:t>。</w:t>
      </w:r>
      <w:r>
        <w:rPr>
          <w:rFonts w:hint="eastAsia" w:ascii="仿宋_GB2312" w:hAnsi="仿宋_GB2312" w:eastAsia="仿宋_GB2312" w:cs="仿宋_GB2312"/>
          <w:color w:val="000000"/>
          <w:sz w:val="32"/>
          <w:szCs w:val="32"/>
        </w:rPr>
        <w:t>牢牢把握检察机关的政治属性，</w:t>
      </w:r>
      <w:r>
        <w:rPr>
          <w:rFonts w:hint="eastAsia" w:ascii="仿宋_GB2312" w:hAnsi="仿宋_GB2312" w:eastAsia="仿宋_GB2312" w:cs="仿宋_GB2312"/>
          <w:sz w:val="32"/>
          <w:szCs w:val="32"/>
        </w:rPr>
        <w:t>巩固和深化政法队伍教育整顿成果，常态化开展党史学习教育，坚决把忠诚铸入灵魂、融入血液</w:t>
      </w: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sz w:val="32"/>
          <w:szCs w:val="32"/>
        </w:rPr>
        <w:t>把“从政治上看”融入各项具体检察工作,推动讲政治和抓业务深度融合。坚决贯彻落实中央和省市县委的决策部署以及上级检察院的工作要求，扛起以法律监督保证党的全面领导的重大政治责任。</w:t>
      </w:r>
    </w:p>
    <w:p w14:paraId="2F4A43DC">
      <w:pPr>
        <w:keepNext w:val="0"/>
        <w:keepLines w:val="0"/>
        <w:pageBreakBefore w:val="0"/>
        <w:widowControl w:val="0"/>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_GB2312" w:eastAsia="楷体_GB2312"/>
          <w:color w:val="000000"/>
          <w:sz w:val="32"/>
          <w:szCs w:val="32"/>
        </w:rPr>
        <w:t>二是</w:t>
      </w:r>
      <w:r>
        <w:rPr>
          <w:rFonts w:hint="eastAsia" w:ascii="楷体_GB2312" w:eastAsia="楷体_GB2312"/>
          <w:color w:val="000000"/>
          <w:sz w:val="32"/>
          <w:szCs w:val="32"/>
          <w:lang w:eastAsia="zh-CN"/>
        </w:rPr>
        <w:t>以更实举措服务新干发展大局</w:t>
      </w:r>
      <w:r>
        <w:rPr>
          <w:rFonts w:hint="eastAsia" w:ascii="楷体_GB2312" w:eastAsia="楷体_GB2312"/>
          <w:color w:val="000000"/>
          <w:sz w:val="32"/>
          <w:szCs w:val="32"/>
        </w:rPr>
        <w:t>。</w:t>
      </w:r>
      <w:r>
        <w:rPr>
          <w:rFonts w:hint="eastAsia" w:ascii="仿宋_GB2312" w:hAnsi="仿宋_GB2312" w:eastAsia="仿宋_GB2312" w:cs="仿宋_GB2312"/>
          <w:color w:val="000000"/>
          <w:sz w:val="32"/>
          <w:szCs w:val="32"/>
        </w:rPr>
        <w:t>紧扣</w:t>
      </w:r>
      <w:r>
        <w:rPr>
          <w:rFonts w:hint="eastAsia" w:ascii="仿宋_GB2312" w:hAnsi="仿宋_GB2312" w:eastAsia="仿宋_GB2312" w:cs="仿宋_GB2312"/>
          <w:color w:val="000000"/>
          <w:sz w:val="32"/>
          <w:szCs w:val="32"/>
          <w:lang w:eastAsia="zh-CN"/>
        </w:rPr>
        <w:t>县委县政府</w:t>
      </w:r>
      <w:r>
        <w:rPr>
          <w:rFonts w:hint="eastAsia" w:ascii="仿宋_GB2312" w:hAnsi="仿宋_GB2312" w:eastAsia="仿宋_GB2312" w:cs="仿宋_GB2312"/>
          <w:color w:val="000000"/>
          <w:sz w:val="32"/>
          <w:szCs w:val="32"/>
        </w:rPr>
        <w:t>确定的经济社会发展目标任务，找准检察工作服务大局的着力点和切入点。</w:t>
      </w:r>
      <w:r>
        <w:rPr>
          <w:rFonts w:hint="eastAsia" w:ascii="仿宋_GB2312" w:hAnsi="仿宋_GB2312" w:eastAsia="仿宋_GB2312" w:cs="仿宋_GB2312"/>
          <w:color w:val="000000"/>
          <w:sz w:val="32"/>
          <w:szCs w:val="32"/>
          <w:lang w:eastAsia="zh-CN"/>
        </w:rPr>
        <w:t>出台措施意见，持续优化法治化营商环境，为推动全省深化发展和改革“双一号”工程提供更优更好检察产品。</w:t>
      </w:r>
      <w:r>
        <w:rPr>
          <w:rFonts w:hint="eastAsia" w:ascii="仿宋_GB2312" w:hAnsi="仿宋_GB2312" w:eastAsia="仿宋_GB2312" w:cs="仿宋_GB2312"/>
          <w:color w:val="000000"/>
          <w:sz w:val="32"/>
          <w:szCs w:val="32"/>
        </w:rPr>
        <w:t>切实加强民生司法保障，解决群众的急</w:t>
      </w:r>
      <w:r>
        <w:rPr>
          <w:rFonts w:hint="eastAsia" w:ascii="仿宋_GB2312" w:hAnsi="仿宋_GB2312" w:eastAsia="仿宋_GB2312" w:cs="仿宋_GB2312"/>
          <w:color w:val="000000"/>
          <w:sz w:val="32"/>
          <w:szCs w:val="32"/>
          <w:lang w:eastAsia="zh-CN"/>
        </w:rPr>
        <w:t>难愁</w:t>
      </w:r>
      <w:r>
        <w:rPr>
          <w:rFonts w:hint="eastAsia" w:ascii="仿宋_GB2312" w:hAnsi="仿宋_GB2312" w:eastAsia="仿宋_GB2312" w:cs="仿宋_GB2312"/>
          <w:color w:val="000000"/>
          <w:sz w:val="32"/>
          <w:szCs w:val="32"/>
        </w:rPr>
        <w:t>盼事，更好满足人民群众的更高要求，抓住人民群众反映强烈的执法不严、司法不公等问题，加大监督力度，</w:t>
      </w:r>
      <w:r>
        <w:rPr>
          <w:rFonts w:hint="eastAsia" w:ascii="仿宋_GB2312" w:hAnsi="仿宋_GB2312" w:eastAsia="仿宋_GB2312" w:cs="仿宋_GB2312"/>
          <w:color w:val="000000"/>
          <w:sz w:val="32"/>
          <w:szCs w:val="32"/>
          <w:lang w:eastAsia="zh-CN"/>
        </w:rPr>
        <w:t>综合考虑法理情，</w:t>
      </w:r>
      <w:r>
        <w:rPr>
          <w:rFonts w:hint="eastAsia" w:ascii="仿宋_GB2312" w:hAnsi="仿宋_GB2312" w:eastAsia="仿宋_GB2312" w:cs="仿宋_GB2312"/>
          <w:color w:val="000000"/>
          <w:sz w:val="32"/>
          <w:szCs w:val="32"/>
        </w:rPr>
        <w:t>努力让人民群众</w:t>
      </w:r>
      <w:r>
        <w:rPr>
          <w:rFonts w:hint="eastAsia" w:ascii="仿宋_GB2312" w:hAnsi="仿宋_GB2312" w:eastAsia="仿宋_GB2312" w:cs="仿宋_GB2312"/>
          <w:color w:val="000000"/>
          <w:sz w:val="32"/>
          <w:szCs w:val="32"/>
          <w:lang w:eastAsia="zh-CN"/>
        </w:rPr>
        <w:t>切实感受到</w:t>
      </w:r>
      <w:r>
        <w:rPr>
          <w:rFonts w:hint="eastAsia" w:ascii="仿宋_GB2312" w:hAnsi="仿宋_GB2312" w:eastAsia="仿宋_GB2312" w:cs="仿宋_GB2312"/>
          <w:color w:val="000000"/>
          <w:sz w:val="32"/>
          <w:szCs w:val="32"/>
        </w:rPr>
        <w:t>公平正义</w:t>
      </w:r>
      <w:r>
        <w:rPr>
          <w:rFonts w:hint="eastAsia" w:ascii="仿宋_GB2312" w:hAnsi="仿宋_GB2312" w:eastAsia="仿宋_GB2312" w:cs="仿宋_GB2312"/>
          <w:color w:val="000000"/>
          <w:sz w:val="32"/>
          <w:szCs w:val="32"/>
          <w:lang w:eastAsia="zh-CN"/>
        </w:rPr>
        <w:t>就在身边</w:t>
      </w:r>
      <w:r>
        <w:rPr>
          <w:rFonts w:hint="eastAsia" w:ascii="仿宋_GB2312" w:hAnsi="仿宋_GB2312" w:eastAsia="仿宋_GB2312" w:cs="仿宋_GB2312"/>
          <w:color w:val="000000"/>
          <w:sz w:val="32"/>
          <w:szCs w:val="32"/>
        </w:rPr>
        <w:t>。</w:t>
      </w:r>
    </w:p>
    <w:p w14:paraId="7C27E062">
      <w:pPr>
        <w:keepNext w:val="0"/>
        <w:keepLines w:val="0"/>
        <w:pageBreakBefore w:val="0"/>
        <w:widowControl w:val="0"/>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color w:val="000000"/>
          <w:sz w:val="32"/>
          <w:szCs w:val="32"/>
        </w:rPr>
        <w:t>三是</w:t>
      </w:r>
      <w:r>
        <w:rPr>
          <w:rFonts w:hint="eastAsia" w:ascii="楷体" w:hAnsi="楷体" w:eastAsia="楷体" w:cs="楷体"/>
          <w:color w:val="000000"/>
          <w:sz w:val="32"/>
          <w:szCs w:val="32"/>
          <w:lang w:eastAsia="zh-CN"/>
        </w:rPr>
        <w:t>以</w:t>
      </w:r>
      <w:r>
        <w:rPr>
          <w:rFonts w:hint="eastAsia" w:ascii="楷体_GB2312" w:eastAsia="楷体_GB2312"/>
          <w:color w:val="000000"/>
          <w:sz w:val="32"/>
          <w:szCs w:val="32"/>
          <w:lang w:eastAsia="zh-CN"/>
        </w:rPr>
        <w:t>更大力度提升检察监督质效</w:t>
      </w:r>
      <w:r>
        <w:rPr>
          <w:rFonts w:hint="eastAsia" w:ascii="楷体" w:hAnsi="楷体" w:eastAsia="楷体" w:cs="楷体"/>
          <w:sz w:val="32"/>
          <w:szCs w:val="32"/>
        </w:rPr>
        <w:t>。</w:t>
      </w:r>
      <w:r>
        <w:rPr>
          <w:rFonts w:hint="eastAsia" w:ascii="仿宋_GB2312" w:hAnsi="仿宋_GB2312" w:eastAsia="仿宋_GB2312" w:cs="仿宋_GB2312"/>
          <w:sz w:val="32"/>
          <w:szCs w:val="32"/>
        </w:rPr>
        <w:t>深入学习习近平总书记关于政法工作的重要指示精神，落实执行《中共中央关于加强新时代检察机关法律监督工作的意见》和全国检察长会议工作要求，扎实开展“质量建设年”</w:t>
      </w:r>
      <w:r>
        <w:rPr>
          <w:rFonts w:hint="default" w:ascii="Calibri" w:hAnsi="Calibri" w:eastAsia="仿宋_GB2312" w:cs="Calibri"/>
          <w:sz w:val="32"/>
          <w:szCs w:val="32"/>
          <w:vertAlign w:val="superscript"/>
        </w:rPr>
        <w:t>⑦</w:t>
      </w:r>
      <w:r>
        <w:rPr>
          <w:rFonts w:hint="eastAsia" w:ascii="仿宋_GB2312" w:hAnsi="仿宋_GB2312" w:eastAsia="仿宋_GB2312" w:cs="仿宋_GB2312"/>
          <w:sz w:val="32"/>
          <w:szCs w:val="32"/>
        </w:rPr>
        <w:t>活动，不断优化刑事检察，精准开展民事诉讼监督，全面深化行政检察监督，积极稳妥推进公益诉讼检察，持续强化职能发挥，提升执法司法质效，提高履职能力和水平，奋力开创新干检察工作高质量发展的新局面。</w:t>
      </w:r>
    </w:p>
    <w:p w14:paraId="456E8AD8">
      <w:pPr>
        <w:keepNext w:val="0"/>
        <w:keepLines w:val="0"/>
        <w:pageBreakBefore w:val="0"/>
        <w:widowControl w:val="0"/>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_GB2312" w:eastAsia="楷体_GB2312"/>
          <w:color w:val="000000"/>
          <w:sz w:val="32"/>
          <w:szCs w:val="32"/>
        </w:rPr>
        <w:t>四是</w:t>
      </w:r>
      <w:r>
        <w:rPr>
          <w:rFonts w:hint="eastAsia" w:ascii="楷体_GB2312" w:eastAsia="楷体_GB2312"/>
          <w:color w:val="000000"/>
          <w:sz w:val="32"/>
          <w:szCs w:val="32"/>
          <w:lang w:eastAsia="zh-CN"/>
        </w:rPr>
        <w:t>以更严标准推进检察队伍建设。</w:t>
      </w:r>
      <w:r>
        <w:rPr>
          <w:rFonts w:hint="eastAsia" w:ascii="仿宋_GB2312" w:hAnsi="仿宋_GB2312" w:eastAsia="仿宋_GB2312" w:cs="仿宋_GB2312"/>
          <w:sz w:val="32"/>
          <w:szCs w:val="32"/>
        </w:rPr>
        <w:t>更加注重系统观念、法治思维、强基导向，把提升队伍的政治素养作为第一位的要求，把提高队伍的专业素质和基础能力摆在更加突出的位置，把筑牢队伍廉洁自律作为推动检察工作高质量发展的根本保证，持之以恒加强自身建设，自觉主动接受监督制约，永葆检察队伍绝对忠诚、绝对纯洁、绝对可靠。坚持严管厚爱相结合，凝聚检察事业发展的正能量，激发干警的精气神，把班子的团结放在更加突出位置，努力营造团结、和谐、奋进、融洽的工作氛围。</w:t>
      </w:r>
    </w:p>
    <w:p w14:paraId="7F71D7F0">
      <w:pPr>
        <w:keepNext w:val="0"/>
        <w:keepLines w:val="0"/>
        <w:pageBreakBefore w:val="0"/>
        <w:widowControl w:val="0"/>
        <w:pBdr>
          <w:bottom w:val="single" w:color="FFFFFF" w:sz="4" w:space="31"/>
        </w:pBdr>
        <w:kinsoku/>
        <w:wordWrap/>
        <w:overflowPunct/>
        <w:topLinePunct/>
        <w:autoSpaceDE w:val="0"/>
        <w:bidi w:val="0"/>
        <w:snapToGrid w:val="0"/>
        <w:spacing w:line="540" w:lineRule="exact"/>
        <w:ind w:firstLine="640" w:firstLineChars="200"/>
        <w:textAlignment w:val="auto"/>
        <w:rPr>
          <w:rFonts w:hint="eastAsia" w:ascii="仿宋_GB2312"/>
          <w:szCs w:val="32"/>
        </w:rPr>
      </w:pPr>
      <w:r>
        <w:rPr>
          <w:rFonts w:hint="eastAsia" w:ascii="仿宋_GB2312" w:eastAsia="仿宋_GB2312"/>
          <w:sz w:val="32"/>
          <w:szCs w:val="32"/>
        </w:rPr>
        <w:t>各位代表，风劲潮涌，自当扬帆破浪；任重道远，更需策马扬鞭。新的一年，我们将更加团结在以习近平同志为核心的党中央周围，在县委和上级检察院的坚强领导下，坚决贯彻落实县委决策部署和本次大会决议，锚定“作示范、勇争先”的</w:t>
      </w:r>
      <w:r>
        <w:rPr>
          <w:rFonts w:hint="eastAsia" w:ascii="仿宋_GB2312" w:eastAsia="仿宋_GB2312"/>
          <w:sz w:val="32"/>
          <w:szCs w:val="32"/>
          <w:lang w:eastAsia="zh-CN"/>
        </w:rPr>
        <w:t>工作目标</w:t>
      </w:r>
      <w:r>
        <w:rPr>
          <w:rFonts w:hint="eastAsia" w:ascii="仿宋_GB2312" w:eastAsia="仿宋_GB2312"/>
          <w:sz w:val="32"/>
          <w:szCs w:val="32"/>
        </w:rPr>
        <w:t>，用心谋事、潜心干事、一心成事，勠力同心，</w:t>
      </w:r>
      <w:r>
        <w:rPr>
          <w:rFonts w:hint="eastAsia" w:ascii="仿宋_GB2312" w:eastAsia="仿宋_GB2312"/>
          <w:sz w:val="32"/>
          <w:szCs w:val="32"/>
          <w:lang w:eastAsia="zh-CN"/>
        </w:rPr>
        <w:t>踔厉奋进</w:t>
      </w:r>
      <w:r>
        <w:rPr>
          <w:rFonts w:hint="eastAsia" w:ascii="仿宋_GB2312" w:eastAsia="仿宋_GB2312"/>
          <w:sz w:val="32"/>
          <w:szCs w:val="32"/>
        </w:rPr>
        <w:t>，</w:t>
      </w:r>
      <w:r>
        <w:rPr>
          <w:rFonts w:hint="eastAsia" w:ascii="仿宋_GB2312" w:eastAsia="仿宋_GB2312"/>
          <w:sz w:val="32"/>
          <w:szCs w:val="32"/>
          <w:lang w:eastAsia="zh-CN"/>
        </w:rPr>
        <w:t>履职担当，努力</w:t>
      </w:r>
      <w:r>
        <w:rPr>
          <w:rFonts w:hint="eastAsia" w:ascii="仿宋_GB2312" w:eastAsia="仿宋_GB2312"/>
          <w:sz w:val="32"/>
          <w:szCs w:val="32"/>
        </w:rPr>
        <w:t>谱写新干检察工作新篇章，为新干奋力争当吉安革命老区建设高质量发展先行区排头兵作出更大贡献，以优异成绩迎接党的二十大胜利召开！</w:t>
      </w:r>
    </w:p>
    <w:p w14:paraId="167AC95C">
      <w:pPr>
        <w:keepNext w:val="0"/>
        <w:keepLines w:val="0"/>
        <w:pageBreakBefore w:val="0"/>
        <w:widowControl w:val="0"/>
        <w:kinsoku/>
        <w:wordWrap/>
        <w:overflowPunct/>
        <w:topLinePunct w:val="0"/>
        <w:autoSpaceDE/>
        <w:autoSpaceDN/>
        <w:bidi w:val="0"/>
        <w:snapToGrid/>
        <w:spacing w:line="540" w:lineRule="exact"/>
        <w:jc w:val="left"/>
        <w:textAlignment w:val="auto"/>
        <w:rPr>
          <w:rFonts w:hint="eastAsia" w:ascii="黑体" w:eastAsia="黑体"/>
          <w:color w:val="000000"/>
          <w:sz w:val="32"/>
          <w:szCs w:val="32"/>
        </w:rPr>
      </w:pPr>
      <w:r>
        <w:rPr>
          <w:rFonts w:hint="eastAsia" w:ascii="黑体" w:eastAsia="黑体"/>
          <w:color w:val="000000"/>
          <w:sz w:val="32"/>
          <w:szCs w:val="32"/>
        </w:rPr>
        <w:br w:type="page"/>
      </w:r>
      <w:r>
        <w:rPr>
          <w:rFonts w:hint="eastAsia" w:ascii="黑体" w:eastAsia="黑体"/>
          <w:b w:val="0"/>
          <w:bCs w:val="0"/>
          <w:color w:val="000000"/>
          <w:sz w:val="32"/>
          <w:szCs w:val="32"/>
        </w:rPr>
        <w:t>附件：</w:t>
      </w:r>
    </w:p>
    <w:p w14:paraId="45B71080">
      <w:pPr>
        <w:spacing w:line="56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新干县人民检察院工作报告</w:t>
      </w:r>
    </w:p>
    <w:p w14:paraId="0D3A9381">
      <w:pPr>
        <w:spacing w:line="56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有关用语说明、案例简介及数据图表</w:t>
      </w:r>
    </w:p>
    <w:p w14:paraId="617822A8">
      <w:pPr>
        <w:pStyle w:val="2"/>
        <w:keepNext w:val="0"/>
        <w:keepLines w:val="0"/>
        <w:pageBreakBefore w:val="0"/>
        <w:widowControl w:val="0"/>
        <w:kinsoku/>
        <w:wordWrap/>
        <w:overflowPunct/>
        <w:topLinePunct w:val="0"/>
        <w:autoSpaceDE/>
        <w:autoSpaceDN/>
        <w:bidi w:val="0"/>
        <w:snapToGrid/>
        <w:spacing w:after="0" w:line="540" w:lineRule="exact"/>
        <w:ind w:left="0" w:leftChars="0" w:firstLine="0" w:firstLineChars="0"/>
        <w:textAlignment w:val="auto"/>
        <w:rPr>
          <w:rFonts w:hint="eastAsia" w:ascii="方正小标宋简体" w:hAnsi="宋体" w:eastAsia="方正小标宋简体" w:cs="宋体"/>
          <w:bCs/>
          <w:kern w:val="0"/>
          <w:sz w:val="44"/>
          <w:szCs w:val="44"/>
        </w:rPr>
      </w:pPr>
    </w:p>
    <w:p w14:paraId="087EAE9C">
      <w:pPr>
        <w:keepNext w:val="0"/>
        <w:keepLines w:val="0"/>
        <w:pageBreakBefore w:val="0"/>
        <w:widowControl w:val="0"/>
        <w:kinsoku/>
        <w:wordWrap/>
        <w:overflowPunct/>
        <w:topLinePunct w:val="0"/>
        <w:autoSpaceDE/>
        <w:autoSpaceDN/>
        <w:bidi w:val="0"/>
        <w:adjustRightInd/>
        <w:snapToGrid/>
        <w:spacing w:after="157" w:afterLines="50" w:line="540" w:lineRule="exact"/>
        <w:ind w:left="0" w:leftChars="0" w:right="0" w:rightChars="0" w:firstLine="640" w:firstLineChars="200"/>
        <w:jc w:val="left"/>
        <w:textAlignment w:val="auto"/>
        <w:outlineLvl w:val="9"/>
        <w:rPr>
          <w:rFonts w:hint="eastAsia" w:ascii="黑体" w:eastAsia="黑体"/>
          <w:color w:val="000000"/>
          <w:sz w:val="32"/>
          <w:szCs w:val="32"/>
        </w:rPr>
      </w:pPr>
      <w:r>
        <w:rPr>
          <w:rFonts w:hint="eastAsia" w:ascii="黑体" w:eastAsia="黑体"/>
          <w:color w:val="000000"/>
          <w:sz w:val="32"/>
          <w:szCs w:val="32"/>
        </w:rPr>
        <w:t>一、用语说明</w:t>
      </w:r>
    </w:p>
    <w:p w14:paraId="73FFC5AB">
      <w:pPr>
        <w:pStyle w:val="2"/>
        <w:keepNext w:val="0"/>
        <w:keepLines w:val="0"/>
        <w:pageBreakBefore w:val="0"/>
        <w:widowControl w:val="0"/>
        <w:kinsoku/>
        <w:wordWrap/>
        <w:overflowPunct/>
        <w:topLinePunct w:val="0"/>
        <w:autoSpaceDE/>
        <w:autoSpaceDN/>
        <w:bidi w:val="0"/>
        <w:snapToGrid/>
        <w:spacing w:after="0" w:line="540" w:lineRule="exact"/>
        <w:ind w:left="0" w:leftChars="0" w:firstLine="643"/>
        <w:textAlignment w:val="auto"/>
        <w:rPr>
          <w:rFonts w:hint="eastAsia" w:ascii="仿宋_GB2312"/>
          <w:szCs w:val="32"/>
        </w:rPr>
      </w:pPr>
      <w:r>
        <w:rPr>
          <w:rFonts w:hint="eastAsia" w:ascii="楷体_GB2312" w:eastAsia="楷体_GB2312"/>
          <w:b/>
          <w:bCs/>
          <w:color w:val="000000"/>
          <w:szCs w:val="32"/>
        </w:rPr>
        <w:t>1.民营企业刑事诉讼“挂案”：</w:t>
      </w:r>
      <w:r>
        <w:rPr>
          <w:rFonts w:hint="eastAsia" w:ascii="仿宋_GB2312"/>
          <w:szCs w:val="32"/>
        </w:rPr>
        <w:t>指民营企业或者民营企业人员作为犯罪嫌疑人，对民营企业经营者未采取强制措施，公安机关自立案之日起超过两年没有移送审查起诉、撤销案件或者依法作其他处理的；对民营企业犯罪嫌疑人采取了强制措施，在解除强制措施后超过一年没有移送审查起诉、撤销案件或依法作其他处理的；经人民检察院通知撤销案件，侦查机关未提出复议、复核也没有及时撤销案件的；人民检察院在审查起诉阶段超期未办结的案件。</w:t>
      </w:r>
    </w:p>
    <w:p w14:paraId="7AF74A87">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_GB2312" w:eastAsia="仿宋_GB2312"/>
          <w:sz w:val="32"/>
          <w:szCs w:val="32"/>
        </w:rPr>
      </w:pPr>
      <w:r>
        <w:rPr>
          <w:rFonts w:hint="eastAsia" w:ascii="楷体_GB2312" w:eastAsia="楷体_GB2312"/>
          <w:b/>
          <w:bCs/>
          <w:color w:val="000000"/>
          <w:sz w:val="32"/>
          <w:szCs w:val="32"/>
        </w:rPr>
        <w:t>2.“断卡”行动：</w:t>
      </w:r>
      <w:r>
        <w:rPr>
          <w:rFonts w:hint="eastAsia" w:ascii="仿宋_GB2312" w:eastAsia="仿宋_GB2312"/>
          <w:sz w:val="32"/>
          <w:szCs w:val="32"/>
        </w:rPr>
        <w:t>为严厉打击治理开办贩卖电话卡、银行卡（简称“两卡”）违法犯罪活动，根据全国“断卡”行动部署会和省打击治理电信网络新型违法犯罪工作厅际联席会议办的工作部署，自2020年10月10日起，在全省范围内开展以打击、治理、惩戒开办贩卖“两卡”违法犯罪团伙为主要内容的专项行动。</w:t>
      </w:r>
    </w:p>
    <w:p w14:paraId="573DA627">
      <w:pPr>
        <w:pStyle w:val="2"/>
        <w:keepNext w:val="0"/>
        <w:keepLines w:val="0"/>
        <w:pageBreakBefore w:val="0"/>
        <w:widowControl w:val="0"/>
        <w:kinsoku/>
        <w:wordWrap/>
        <w:overflowPunct/>
        <w:topLinePunct w:val="0"/>
        <w:autoSpaceDE/>
        <w:autoSpaceDN/>
        <w:bidi w:val="0"/>
        <w:snapToGrid/>
        <w:spacing w:after="0" w:line="540" w:lineRule="exact"/>
        <w:ind w:left="0" w:leftChars="0" w:firstLine="643"/>
        <w:textAlignment w:val="auto"/>
        <w:rPr>
          <w:rFonts w:hint="eastAsia" w:ascii="仿宋_GB2312"/>
          <w:szCs w:val="32"/>
        </w:rPr>
      </w:pPr>
      <w:r>
        <w:rPr>
          <w:rFonts w:hint="eastAsia" w:ascii="楷体_GB2312" w:eastAsia="楷体_GB2312"/>
          <w:b/>
          <w:bCs/>
          <w:color w:val="000000"/>
          <w:szCs w:val="32"/>
        </w:rPr>
        <w:t>3.食品药品“四个最严”要求：</w:t>
      </w:r>
      <w:r>
        <w:rPr>
          <w:rFonts w:hint="eastAsia" w:ascii="仿宋_GB2312"/>
          <w:szCs w:val="32"/>
        </w:rPr>
        <w:t>指习近平总书记对食品药品安全提出的“最严谨的标准、最严格的监管、最严厉的处罚、最严肃的问责”要求。</w:t>
      </w:r>
    </w:p>
    <w:p w14:paraId="0E6131E0">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_GB2312" w:eastAsia="仿宋_GB2312"/>
          <w:sz w:val="32"/>
          <w:szCs w:val="32"/>
        </w:rPr>
      </w:pPr>
      <w:r>
        <w:rPr>
          <w:rFonts w:hint="eastAsia" w:ascii="楷体_GB2312" w:eastAsia="楷体_GB2312"/>
          <w:b/>
          <w:bCs/>
          <w:color w:val="000000"/>
          <w:sz w:val="32"/>
          <w:szCs w:val="32"/>
        </w:rPr>
        <w:t>4.侵害未成年人案件强制报告制度：</w:t>
      </w:r>
      <w:r>
        <w:rPr>
          <w:rFonts w:hint="eastAsia" w:ascii="仿宋_GB2312" w:eastAsia="仿宋_GB2312"/>
          <w:sz w:val="32"/>
          <w:szCs w:val="32"/>
        </w:rPr>
        <w:t>2020年5月，最高人民检察院与国家监委、教育部、公安部等9部门印发《关于建立侵害未成年人案件强制报告制度的意见（试行）》，规定国家机关、行使公权力的各类组织及公职人员，密切接触未成年人行业的各类组织及其从业人员，在工作中发现未成年人遭受或者疑似遭受不法侵害以及面临不法侵害危险的，应当立即向公安机关报告或举报。</w:t>
      </w:r>
    </w:p>
    <w:p w14:paraId="0D041743">
      <w:pPr>
        <w:pStyle w:val="2"/>
        <w:keepNext w:val="0"/>
        <w:keepLines w:val="0"/>
        <w:pageBreakBefore w:val="0"/>
        <w:widowControl w:val="0"/>
        <w:kinsoku/>
        <w:wordWrap/>
        <w:overflowPunct/>
        <w:topLinePunct w:val="0"/>
        <w:autoSpaceDE/>
        <w:autoSpaceDN/>
        <w:bidi w:val="0"/>
        <w:snapToGrid/>
        <w:spacing w:after="0" w:line="540" w:lineRule="exact"/>
        <w:ind w:left="0" w:leftChars="0" w:firstLine="643"/>
        <w:textAlignment w:val="auto"/>
        <w:rPr>
          <w:rFonts w:hint="eastAsia" w:ascii="仿宋_GB2312"/>
          <w:szCs w:val="32"/>
        </w:rPr>
      </w:pPr>
      <w:r>
        <w:rPr>
          <w:rFonts w:hint="eastAsia" w:ascii="楷体_GB2312" w:eastAsia="楷体_GB2312"/>
          <w:b/>
          <w:bCs/>
          <w:color w:val="000000"/>
          <w:szCs w:val="32"/>
        </w:rPr>
        <w:t>5.特邀检察官助理：</w:t>
      </w:r>
      <w:r>
        <w:rPr>
          <w:rFonts w:hint="eastAsia" w:ascii="仿宋_GB2312"/>
          <w:szCs w:val="32"/>
        </w:rPr>
        <w:t>指检察机关聘请行政机关专业人员以特邀检察</w:t>
      </w:r>
      <w:r>
        <w:rPr>
          <w:rFonts w:hint="eastAsia" w:ascii="仿宋_GB2312"/>
          <w:szCs w:val="32"/>
          <w:lang w:eastAsia="zh-CN"/>
        </w:rPr>
        <w:t>助理</w:t>
      </w:r>
      <w:r>
        <w:rPr>
          <w:rFonts w:hint="eastAsia" w:ascii="仿宋_GB2312"/>
          <w:szCs w:val="32"/>
        </w:rPr>
        <w:t>身份协助办理相关专业领域案件。</w:t>
      </w:r>
    </w:p>
    <w:p w14:paraId="79698E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rPr>
      </w:pPr>
      <w:r>
        <w:rPr>
          <w:rFonts w:hint="eastAsia" w:ascii="楷体_GB2312" w:eastAsia="楷体_GB2312"/>
          <w:b/>
          <w:bCs/>
          <w:color w:val="000000"/>
          <w:sz w:val="32"/>
          <w:szCs w:val="32"/>
          <w:lang w:val="en-US" w:eastAsia="zh-CN"/>
        </w:rPr>
        <w:t>6.刑事检察“案-件比”：</w:t>
      </w:r>
      <w:r>
        <w:rPr>
          <w:rFonts w:hint="eastAsia" w:ascii="仿宋_GB2312" w:eastAsia="仿宋_GB2312"/>
          <w:sz w:val="32"/>
          <w:szCs w:val="32"/>
          <w:lang w:val="en-US" w:eastAsia="zh-CN"/>
        </w:rPr>
        <w:t>是指刑事“案子”一案，经过办案机关若干程序环节，就被统计为若干“件”。一个案子“件”数越多，说明其所经历的司法程序越多，司法资源耗费越多，当事人讼累也越重。如果一个“案子”，进入检察程序后一次性优质办结，司法资源投入最少，当事人感受最好。最高人民检察院创立这一评价标准意在督导检察官强化责任意识、提升司法能力，努力把工作做到极致，避免不应有的程序空转。</w:t>
      </w:r>
    </w:p>
    <w:p w14:paraId="4D338D8F">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ascii="仿宋_GB2312" w:eastAsia="仿宋_GB2312"/>
          <w:sz w:val="32"/>
          <w:szCs w:val="32"/>
        </w:rPr>
      </w:pPr>
      <w:r>
        <w:rPr>
          <w:rFonts w:hint="eastAsia" w:ascii="楷体_GB2312" w:eastAsia="楷体_GB2312"/>
          <w:b/>
          <w:bCs/>
          <w:color w:val="000000"/>
          <w:sz w:val="32"/>
          <w:szCs w:val="32"/>
          <w:lang w:val="en-US" w:eastAsia="zh-CN"/>
        </w:rPr>
        <w:t>7</w:t>
      </w:r>
      <w:r>
        <w:rPr>
          <w:rFonts w:hint="eastAsia" w:ascii="楷体_GB2312" w:eastAsia="楷体_GB2312"/>
          <w:b/>
          <w:bCs/>
          <w:color w:val="000000"/>
          <w:sz w:val="32"/>
          <w:szCs w:val="32"/>
        </w:rPr>
        <w:t>.质量建设年：</w:t>
      </w:r>
      <w:r>
        <w:rPr>
          <w:rFonts w:hint="eastAsia" w:ascii="仿宋_GB2312" w:eastAsia="仿宋_GB2312"/>
          <w:sz w:val="32"/>
          <w:szCs w:val="32"/>
        </w:rPr>
        <w:t>2021年初，第十五次全国检察工作会议提出当前和今后一个时期检察工作的总体目标是，以检察工作自身高质量发展服务保障经济社会高质量发展。</w:t>
      </w:r>
      <w:r>
        <w:rPr>
          <w:rFonts w:hint="eastAsia" w:ascii="仿宋_GB2312" w:eastAsia="仿宋_GB2312"/>
          <w:sz w:val="32"/>
          <w:szCs w:val="32"/>
          <w:lang w:eastAsia="zh-CN"/>
        </w:rPr>
        <w:t>最高检</w:t>
      </w:r>
      <w:r>
        <w:rPr>
          <w:rFonts w:hint="eastAsia" w:ascii="仿宋_GB2312" w:eastAsia="仿宋_GB2312"/>
          <w:sz w:val="32"/>
          <w:szCs w:val="32"/>
        </w:rPr>
        <w:t>党组经研究，决定把2022年确定为检察工作“质量建设年”，聚焦“高质量发展”这个关键，以强作风、重落实、提效能为导向，推动检察政治建设、履职能力水平整体提升，进一步做到做实战略前瞻、理念先进、办案精细、素能过硬、基础坚实、管理科学。</w:t>
      </w:r>
    </w:p>
    <w:p w14:paraId="6D9B9D31">
      <w:pPr>
        <w:keepNext w:val="0"/>
        <w:keepLines w:val="0"/>
        <w:pageBreakBefore w:val="0"/>
        <w:widowControl w:val="0"/>
        <w:kinsoku/>
        <w:wordWrap/>
        <w:overflowPunct/>
        <w:topLinePunct w:val="0"/>
        <w:autoSpaceDE/>
        <w:autoSpaceDN/>
        <w:bidi w:val="0"/>
        <w:adjustRightInd w:val="0"/>
        <w:snapToGrid/>
        <w:spacing w:before="156" w:beforeLines="50" w:after="156" w:afterLines="5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二、案例简介</w:t>
      </w:r>
    </w:p>
    <w:p w14:paraId="4EC0BB99">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_GB2312" w:eastAsia="仿宋_GB2312"/>
          <w:sz w:val="32"/>
          <w:szCs w:val="32"/>
        </w:rPr>
      </w:pPr>
      <w:r>
        <w:rPr>
          <w:rFonts w:hint="eastAsia" w:ascii="楷体_GB2312" w:eastAsia="楷体_GB2312"/>
          <w:b/>
          <w:bCs/>
          <w:color w:val="000000"/>
          <w:sz w:val="32"/>
          <w:szCs w:val="32"/>
          <w:lang w:val="en-US" w:eastAsia="zh-CN"/>
        </w:rPr>
        <w:t>1</w:t>
      </w:r>
      <w:r>
        <w:rPr>
          <w:rFonts w:hint="eastAsia" w:ascii="楷体_GB2312" w:eastAsia="楷体_GB2312"/>
          <w:b/>
          <w:bCs/>
          <w:color w:val="000000"/>
          <w:sz w:val="32"/>
          <w:szCs w:val="32"/>
        </w:rPr>
        <w:t>.清理10年“挂案”：</w:t>
      </w:r>
      <w:r>
        <w:rPr>
          <w:rFonts w:hint="eastAsia" w:ascii="仿宋_GB2312" w:eastAsia="仿宋_GB2312"/>
          <w:sz w:val="32"/>
          <w:szCs w:val="32"/>
        </w:rPr>
        <w:t>2011年9月2日，民营企业经营者肖某某被新干县公安局以涉嫌合同诈骗罪立案侦查，但该案久侦不破。2021年5月份，我院</w:t>
      </w:r>
      <w:r>
        <w:rPr>
          <w:rFonts w:hint="eastAsia" w:ascii="仿宋_GB2312" w:eastAsia="仿宋_GB2312"/>
          <w:sz w:val="32"/>
          <w:szCs w:val="32"/>
          <w:lang w:eastAsia="zh-CN"/>
        </w:rPr>
        <w:t>收到</w:t>
      </w:r>
      <w:r>
        <w:rPr>
          <w:rFonts w:hint="eastAsia" w:ascii="仿宋_GB2312" w:eastAsia="仿宋_GB2312"/>
          <w:sz w:val="32"/>
          <w:szCs w:val="32"/>
        </w:rPr>
        <w:t>肖某某申请撤销案件线索，肖某某诉称其十年来犯罪嫌疑人身份一直未予消除，严重影响其企业正常经营和家庭正常生活，申请检察机关监督撤案。经多次与新干县公安局沟通协调，我院于2021年5月27日向县公安局发出《要求说明立案理由通知书》，县公安局收到后于2021年6月1日作出新公经撤字第【2021】0001号《撤销案件决定书》，撤销了肖某某等人合同诈骗一案，并于同日送达肖某某。</w:t>
      </w:r>
    </w:p>
    <w:p w14:paraId="099EDD9B">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eastAsia="楷体_GB2312"/>
          <w:b/>
          <w:bCs/>
          <w:color w:val="000000"/>
          <w:sz w:val="32"/>
          <w:szCs w:val="32"/>
          <w:lang w:val="en-US" w:eastAsia="zh-CN"/>
        </w:rPr>
        <w:t>2</w:t>
      </w:r>
      <w:r>
        <w:rPr>
          <w:rFonts w:hint="eastAsia" w:ascii="楷体_GB2312" w:eastAsia="楷体_GB2312"/>
          <w:b/>
          <w:bCs/>
          <w:color w:val="000000"/>
          <w:sz w:val="32"/>
          <w:szCs w:val="32"/>
        </w:rPr>
        <w:t>.首份“督促监护令”：</w:t>
      </w:r>
      <w:r>
        <w:rPr>
          <w:rFonts w:hint="eastAsia" w:ascii="仿宋_GB2312" w:eastAsia="仿宋_GB2312"/>
          <w:sz w:val="32"/>
          <w:szCs w:val="32"/>
        </w:rPr>
        <w:t>2021年10月，我院在办理未成年人廖某某涉嫌帮助信息网络犯罪活动罪案件中，发现其父母存在管教不严、监护缺位等问题，导致廖某某走上违法犯罪的道路。为督促廖某某父母履行监管职责，帮助廖某某重归社会，我院根据《中华人民共和国未成年人保护法》和《中华人民共和国预防未成年人犯罪法》有关规定，依法向廖某某的父母发出《督促监护令》，要求廖某某父母积极配合司法机关和社工组织，强化对孩子的法治教育与思想教育</w:t>
      </w:r>
      <w:r>
        <w:rPr>
          <w:rFonts w:hint="eastAsia" w:ascii="仿宋_GB2312" w:eastAsia="仿宋_GB2312"/>
          <w:sz w:val="32"/>
          <w:szCs w:val="32"/>
          <w:lang w:eastAsia="zh-CN"/>
        </w:rPr>
        <w:t>，</w:t>
      </w:r>
      <w:r>
        <w:rPr>
          <w:rFonts w:hint="eastAsia" w:ascii="仿宋_GB2312" w:eastAsia="仿宋_GB2312"/>
          <w:sz w:val="32"/>
          <w:szCs w:val="32"/>
        </w:rPr>
        <w:t>给予</w:t>
      </w:r>
      <w:r>
        <w:rPr>
          <w:rFonts w:hint="eastAsia" w:ascii="仿宋_GB2312" w:eastAsia="仿宋_GB2312"/>
          <w:sz w:val="32"/>
          <w:szCs w:val="32"/>
          <w:lang w:eastAsia="zh-CN"/>
        </w:rPr>
        <w:t>其</w:t>
      </w:r>
      <w:r>
        <w:rPr>
          <w:rFonts w:hint="eastAsia" w:ascii="仿宋_GB2312" w:eastAsia="仿宋_GB2312"/>
          <w:sz w:val="32"/>
          <w:szCs w:val="32"/>
        </w:rPr>
        <w:t>积极正向的引导。</w:t>
      </w:r>
    </w:p>
    <w:p w14:paraId="7333B8CD">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ascii="仿宋_GB2312" w:eastAsia="仿宋_GB2312"/>
          <w:sz w:val="32"/>
          <w:szCs w:val="32"/>
        </w:rPr>
      </w:pPr>
      <w:r>
        <w:rPr>
          <w:rFonts w:hint="eastAsia" w:ascii="楷体_GB2312" w:eastAsia="楷体_GB2312"/>
          <w:b/>
          <w:bCs/>
          <w:color w:val="000000"/>
          <w:sz w:val="32"/>
          <w:szCs w:val="32"/>
          <w:lang w:val="en-US" w:eastAsia="zh-CN"/>
        </w:rPr>
        <w:t>3</w:t>
      </w:r>
      <w:r>
        <w:rPr>
          <w:rFonts w:hint="eastAsia" w:ascii="楷体_GB2312" w:eastAsia="楷体_GB2312"/>
          <w:b/>
          <w:bCs/>
          <w:color w:val="000000"/>
          <w:sz w:val="32"/>
          <w:szCs w:val="32"/>
        </w:rPr>
        <w:t>.</w:t>
      </w:r>
      <w:r>
        <w:rPr>
          <w:rFonts w:hint="eastAsia" w:ascii="楷体" w:hAnsi="楷体" w:eastAsia="楷体" w:cs="楷体"/>
          <w:b/>
          <w:bCs/>
          <w:color w:val="auto"/>
          <w:sz w:val="32"/>
          <w:szCs w:val="32"/>
          <w:lang w:val="en-US" w:eastAsia="zh-CN"/>
        </w:rPr>
        <w:t>跨省非法倾倒危险废弃物污染沂江河环境案</w:t>
      </w:r>
      <w:r>
        <w:rPr>
          <w:rFonts w:hint="eastAsia" w:ascii="楷体_GB2312" w:eastAsia="楷体_GB2312"/>
          <w:b/>
          <w:bCs/>
          <w:color w:val="000000"/>
          <w:sz w:val="32"/>
          <w:szCs w:val="32"/>
        </w:rPr>
        <w:t>：</w:t>
      </w:r>
      <w:r>
        <w:rPr>
          <w:rFonts w:hint="eastAsia" w:ascii="仿宋_GB2312" w:eastAsia="仿宋_GB2312"/>
          <w:sz w:val="32"/>
          <w:szCs w:val="32"/>
        </w:rPr>
        <w:t>2019年下半年开始，犯罪嫌疑张某某等人将浙江某公司产生的工业废酸运送到峡江</w:t>
      </w:r>
      <w:r>
        <w:rPr>
          <w:rFonts w:hint="eastAsia" w:ascii="仿宋_GB2312" w:eastAsia="仿宋_GB2312"/>
          <w:sz w:val="32"/>
          <w:szCs w:val="32"/>
          <w:lang w:eastAsia="zh-CN"/>
        </w:rPr>
        <w:t>县，</w:t>
      </w:r>
      <w:r>
        <w:rPr>
          <w:rFonts w:hint="eastAsia" w:ascii="仿宋_GB2312" w:eastAsia="仿宋_GB2312"/>
          <w:sz w:val="32"/>
          <w:szCs w:val="32"/>
        </w:rPr>
        <w:t>交给不具备资质的陈某某等人</w:t>
      </w:r>
      <w:r>
        <w:rPr>
          <w:rFonts w:hint="eastAsia" w:ascii="仿宋_GB2312" w:eastAsia="仿宋_GB2312"/>
          <w:sz w:val="32"/>
          <w:szCs w:val="32"/>
          <w:lang w:eastAsia="zh-CN"/>
        </w:rPr>
        <w:t>处置，</w:t>
      </w:r>
      <w:r>
        <w:rPr>
          <w:rFonts w:hint="eastAsia" w:ascii="仿宋_GB2312" w:eastAsia="仿宋_GB2312"/>
          <w:sz w:val="32"/>
          <w:szCs w:val="32"/>
        </w:rPr>
        <w:t>陈某某等人对工业废酸进行简单处理后</w:t>
      </w:r>
      <w:r>
        <w:rPr>
          <w:rFonts w:hint="eastAsia" w:ascii="仿宋_GB2312" w:eastAsia="仿宋_GB2312"/>
          <w:sz w:val="32"/>
          <w:szCs w:val="32"/>
          <w:lang w:eastAsia="zh-CN"/>
        </w:rPr>
        <w:t>即</w:t>
      </w:r>
      <w:r>
        <w:rPr>
          <w:rFonts w:hint="eastAsia" w:ascii="仿宋_GB2312" w:eastAsia="仿宋_GB2312"/>
          <w:sz w:val="32"/>
          <w:szCs w:val="32"/>
        </w:rPr>
        <w:t>外排，对沂江河流域生态造成严重污染，导致鱼虾大面积死亡，并对流域居民灌溉饮水安全造成严重威胁。2020年案发后，我院充分</w:t>
      </w:r>
      <w:r>
        <w:rPr>
          <w:rFonts w:hint="eastAsia" w:ascii="仿宋_GB2312" w:eastAsia="仿宋_GB2312"/>
          <w:sz w:val="32"/>
          <w:szCs w:val="32"/>
          <w:lang w:eastAsia="zh-CN"/>
        </w:rPr>
        <w:t>发挥</w:t>
      </w:r>
      <w:r>
        <w:rPr>
          <w:rFonts w:hint="eastAsia" w:ascii="仿宋_GB2312" w:eastAsia="仿宋_GB2312"/>
          <w:sz w:val="32"/>
          <w:szCs w:val="32"/>
        </w:rPr>
        <w:t>刑事诉讼及公益诉讼职能，一方面积极引导侦查取证，保证案件质量；另一方面，积极配合支持县生态环境局等相关职能部门同赔偿义务人进行生态损害赔偿磋商，经过多次努力，2021年最终达成了2682.4295万元生态环境损害赔偿协议。该案系江西省《关于加强生态环境损害赔偿与检察公益诉讼衔接办法》出台后首例磋商成功的生态环境损害赔偿大案。</w:t>
      </w:r>
    </w:p>
    <w:p w14:paraId="2EA77AA2">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hint="eastAsia"/>
        </w:rPr>
      </w:pPr>
      <w:r>
        <w:rPr>
          <w:rFonts w:hint="eastAsia" w:ascii="楷体_GB2312" w:eastAsia="楷体_GB2312"/>
          <w:b/>
          <w:bCs/>
          <w:color w:val="000000"/>
          <w:sz w:val="32"/>
          <w:szCs w:val="32"/>
          <w:lang w:val="en-US" w:eastAsia="zh-CN"/>
        </w:rPr>
        <w:t>4</w:t>
      </w:r>
      <w:r>
        <w:rPr>
          <w:rFonts w:hint="eastAsia" w:ascii="楷体_GB2312" w:eastAsia="楷体_GB2312"/>
          <w:b/>
          <w:bCs/>
          <w:color w:val="000000"/>
          <w:sz w:val="32"/>
          <w:szCs w:val="32"/>
        </w:rPr>
        <w:t>.</w:t>
      </w:r>
      <w:r>
        <w:rPr>
          <w:rFonts w:hint="eastAsia" w:ascii="楷体" w:hAnsi="楷体" w:eastAsia="楷体" w:cs="楷体"/>
          <w:b/>
          <w:bCs/>
          <w:color w:val="auto"/>
          <w:sz w:val="32"/>
          <w:szCs w:val="32"/>
          <w:lang w:val="en-US" w:eastAsia="zh-CN"/>
        </w:rPr>
        <w:t>陈某某与江西某公司追索劳动报酬纠纷支持起诉案：</w:t>
      </w:r>
      <w:r>
        <w:rPr>
          <w:rFonts w:hint="eastAsia" w:ascii="仿宋_GB2312" w:eastAsia="仿宋_GB2312"/>
          <w:sz w:val="32"/>
          <w:szCs w:val="32"/>
        </w:rPr>
        <w:t>2015年，江西某农业科技公司新干分公司雇请陈某某为其从事农业种植等劳务。2016年</w:t>
      </w:r>
      <w:r>
        <w:rPr>
          <w:rFonts w:hint="eastAsia" w:ascii="仿宋_GB2312" w:eastAsia="仿宋_GB2312"/>
          <w:sz w:val="32"/>
          <w:szCs w:val="32"/>
          <w:lang w:eastAsia="zh-CN"/>
        </w:rPr>
        <w:t>开始，该公司一直拖欠</w:t>
      </w:r>
      <w:r>
        <w:rPr>
          <w:rFonts w:hint="eastAsia" w:ascii="仿宋_GB2312" w:eastAsia="仿宋_GB2312"/>
          <w:sz w:val="32"/>
          <w:szCs w:val="32"/>
        </w:rPr>
        <w:t>陈某某工资</w:t>
      </w:r>
      <w:r>
        <w:rPr>
          <w:rFonts w:hint="eastAsia" w:ascii="仿宋_GB2312" w:eastAsia="仿宋_GB2312"/>
          <w:sz w:val="32"/>
          <w:szCs w:val="32"/>
          <w:lang w:eastAsia="zh-CN"/>
        </w:rPr>
        <w:t>共计</w:t>
      </w:r>
      <w:r>
        <w:rPr>
          <w:rFonts w:hint="eastAsia" w:ascii="仿宋_GB2312" w:eastAsia="仿宋_GB2312"/>
          <w:sz w:val="32"/>
          <w:szCs w:val="32"/>
        </w:rPr>
        <w:t>10695元。此后，该公司未向陈某某支付工资。2020年3月陈某某向我院申请支持起诉，经调查核实，陈某某符合支持起诉条件，遂向新干县法院发出了《支持起诉书》，法院采纳了检察机关意见，判决该公司支付陈某某劳动报酬10695元。案件办结后，我院持续做好后续跟踪工作，了解到江西某农业科技公司新干分公司无财产可执行，同时陈某某系农村贫困家庭符合国家司法救助的条件，于2021年3月启动司法救助程序</w:t>
      </w:r>
      <w:r>
        <w:rPr>
          <w:rFonts w:hint="eastAsia" w:ascii="仿宋_GB2312" w:eastAsia="仿宋_GB2312"/>
          <w:sz w:val="32"/>
          <w:szCs w:val="32"/>
          <w:lang w:eastAsia="zh-CN"/>
        </w:rPr>
        <w:t>并召开公开听证会</w:t>
      </w:r>
      <w:r>
        <w:rPr>
          <w:rFonts w:hint="eastAsia" w:ascii="仿宋_GB2312" w:eastAsia="仿宋_GB2312"/>
          <w:sz w:val="32"/>
          <w:szCs w:val="32"/>
        </w:rPr>
        <w:t>，帮助陈某某获得司法救助金10000元，有效缓解陈某某的家庭</w:t>
      </w:r>
      <w:r>
        <w:rPr>
          <w:rFonts w:hint="eastAsia" w:ascii="仿宋_GB2312" w:eastAsia="仿宋_GB2312"/>
          <w:sz w:val="32"/>
          <w:szCs w:val="32"/>
          <w:lang w:eastAsia="zh-CN"/>
        </w:rPr>
        <w:t>困境</w:t>
      </w:r>
      <w:r>
        <w:rPr>
          <w:rFonts w:hint="eastAsia" w:ascii="仿宋_GB2312" w:eastAsia="仿宋_GB2312"/>
          <w:sz w:val="32"/>
          <w:szCs w:val="32"/>
        </w:rPr>
        <w:t>。</w:t>
      </w:r>
    </w:p>
    <w:p w14:paraId="225FC39E">
      <w:pPr>
        <w:pStyle w:val="2"/>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40" w:lineRule="exact"/>
        <w:ind w:left="0" w:leftChars="0" w:firstLine="640"/>
        <w:textAlignment w:val="auto"/>
        <w:rPr>
          <w:rFonts w:hint="eastAsia" w:ascii="黑体" w:hAnsi="黑体" w:eastAsia="黑体" w:cs="黑体"/>
        </w:rPr>
      </w:pPr>
      <w:r>
        <w:rPr>
          <w:rFonts w:hint="eastAsia" w:ascii="黑体" w:hAnsi="黑体" w:eastAsia="黑体" w:cs="黑体"/>
        </w:rPr>
        <w:t>数据图例</w:t>
      </w:r>
    </w:p>
    <w:p w14:paraId="6D5E06F5">
      <w:pPr>
        <w:spacing w:line="560" w:lineRule="exact"/>
        <w:rPr>
          <w:rFonts w:hint="eastAsia" w:ascii="仿宋_GB2312" w:eastAsia="仿宋_GB2312"/>
          <w:sz w:val="28"/>
          <w:szCs w:val="28"/>
        </w:rPr>
      </w:pPr>
      <w:r>
        <w:rPr>
          <w:rFonts w:hint="eastAsia"/>
        </w:rPr>
        <w:drawing>
          <wp:anchor distT="0" distB="0" distL="114300" distR="114300" simplePos="0" relativeHeight="251662336" behindDoc="0" locked="0" layoutInCell="1" allowOverlap="1">
            <wp:simplePos x="0" y="0"/>
            <wp:positionH relativeFrom="page">
              <wp:posOffset>895350</wp:posOffset>
            </wp:positionH>
            <wp:positionV relativeFrom="page">
              <wp:posOffset>5379720</wp:posOffset>
            </wp:positionV>
            <wp:extent cx="5757545" cy="3641090"/>
            <wp:effectExtent l="0" t="0" r="14605" b="16510"/>
            <wp:wrapNone/>
            <wp:docPr id="9"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片2"/>
                    <pic:cNvPicPr>
                      <a:picLocks noChangeAspect="1"/>
                    </pic:cNvPicPr>
                  </pic:nvPicPr>
                  <pic:blipFill>
                    <a:blip r:embed="rId5"/>
                    <a:stretch>
                      <a:fillRect/>
                    </a:stretch>
                  </pic:blipFill>
                  <pic:spPr>
                    <a:xfrm>
                      <a:off x="0" y="0"/>
                      <a:ext cx="5757545" cy="3641090"/>
                    </a:xfrm>
                    <a:prstGeom prst="rect">
                      <a:avLst/>
                    </a:prstGeom>
                    <a:noFill/>
                    <a:ln>
                      <a:noFill/>
                    </a:ln>
                  </pic:spPr>
                </pic:pic>
              </a:graphicData>
            </a:graphic>
          </wp:anchor>
        </w:drawing>
      </w:r>
    </w:p>
    <w:p w14:paraId="12326CAA">
      <w:pPr>
        <w:pStyle w:val="2"/>
        <w:ind w:left="420" w:firstLine="640"/>
        <w:rPr>
          <w:rFonts w:hint="eastAsia"/>
        </w:rPr>
      </w:pPr>
    </w:p>
    <w:p w14:paraId="20AF3EA9">
      <w:pPr>
        <w:rPr>
          <w:rFonts w:hint="eastAsia"/>
        </w:rPr>
      </w:pPr>
    </w:p>
    <w:p w14:paraId="295DD0EB">
      <w:pPr>
        <w:pStyle w:val="2"/>
        <w:ind w:left="420" w:firstLine="640"/>
        <w:rPr>
          <w:rFonts w:hint="eastAsia"/>
        </w:rPr>
      </w:pPr>
    </w:p>
    <w:p w14:paraId="2354A7DC">
      <w:pPr>
        <w:rPr>
          <w:rFonts w:hint="eastAsia"/>
        </w:rPr>
      </w:pPr>
    </w:p>
    <w:p w14:paraId="71F874C9">
      <w:pPr>
        <w:pStyle w:val="2"/>
        <w:ind w:left="0" w:leftChars="0" w:firstLine="0" w:firstLineChars="0"/>
        <w:rPr>
          <w:rFonts w:hint="eastAsia"/>
        </w:rPr>
      </w:pPr>
    </w:p>
    <w:p w14:paraId="13F98B20">
      <w:pPr>
        <w:pStyle w:val="2"/>
        <w:ind w:left="420" w:firstLine="640"/>
        <w:rPr>
          <w:rFonts w:hint="eastAsia"/>
        </w:rPr>
      </w:pPr>
    </w:p>
    <w:p w14:paraId="792A5B31">
      <w:pPr>
        <w:rPr>
          <w:rFonts w:hint="eastAsia"/>
        </w:rPr>
      </w:pPr>
    </w:p>
    <w:p w14:paraId="6E61B9B8">
      <w:pPr>
        <w:pStyle w:val="2"/>
        <w:ind w:left="420" w:firstLine="640"/>
        <w:rPr>
          <w:rFonts w:hint="eastAsia"/>
        </w:rPr>
      </w:pPr>
    </w:p>
    <w:p w14:paraId="76ECAE09">
      <w:pPr>
        <w:rPr>
          <w:rFonts w:hint="eastAsia"/>
        </w:rPr>
      </w:pPr>
    </w:p>
    <w:p w14:paraId="4EEDC989">
      <w:pPr>
        <w:pStyle w:val="2"/>
        <w:ind w:left="420" w:firstLine="640"/>
        <w:rPr>
          <w:rFonts w:hint="eastAsia"/>
        </w:rPr>
      </w:pPr>
    </w:p>
    <w:p w14:paraId="05946F20">
      <w:pPr>
        <w:rPr>
          <w:rFonts w:hint="eastAsia"/>
        </w:rPr>
      </w:pPr>
    </w:p>
    <w:p w14:paraId="41F7BB21">
      <w:pPr>
        <w:pStyle w:val="2"/>
        <w:spacing w:after="0" w:line="540" w:lineRule="exact"/>
        <w:ind w:left="0" w:leftChars="0" w:firstLine="0" w:firstLineChars="0"/>
        <w:rPr>
          <w:rFonts w:hint="eastAsia" w:ascii="仿宋_GB2312"/>
          <w:szCs w:val="32"/>
        </w:rPr>
      </w:pPr>
      <w:r>
        <w:rPr>
          <w:rFonts w:hint="eastAsia" w:ascii="仿宋_GB2312"/>
          <w:szCs w:val="32"/>
        </w:rPr>
        <w:br w:type="page"/>
      </w:r>
    </w:p>
    <w:p w14:paraId="1DD8CC07">
      <w:pPr>
        <w:pStyle w:val="2"/>
        <w:ind w:left="420" w:firstLine="640"/>
        <w:rPr>
          <w:rFonts w:hint="eastAsia" w:ascii="仿宋_GB2312"/>
          <w:szCs w:val="32"/>
        </w:rPr>
      </w:pPr>
      <w:r>
        <w:drawing>
          <wp:anchor distT="0" distB="0" distL="114300" distR="114300" simplePos="0" relativeHeight="251668480" behindDoc="0" locked="0" layoutInCell="1" allowOverlap="1">
            <wp:simplePos x="0" y="0"/>
            <wp:positionH relativeFrom="column">
              <wp:posOffset>791845</wp:posOffset>
            </wp:positionH>
            <wp:positionV relativeFrom="paragraph">
              <wp:posOffset>213995</wp:posOffset>
            </wp:positionV>
            <wp:extent cx="4572000" cy="2743200"/>
            <wp:effectExtent l="4445" t="4445" r="14605" b="1460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07662490">
      <w:pPr>
        <w:tabs>
          <w:tab w:val="left" w:pos="5656"/>
        </w:tabs>
        <w:spacing w:line="540" w:lineRule="exact"/>
        <w:rPr>
          <w:rFonts w:hint="eastAsia" w:ascii="仿宋_GB2312" w:eastAsia="仿宋_GB2312"/>
          <w:sz w:val="28"/>
          <w:szCs w:val="28"/>
        </w:rPr>
      </w:pPr>
    </w:p>
    <w:p w14:paraId="270A4120">
      <w:pPr>
        <w:pStyle w:val="2"/>
        <w:spacing w:after="0" w:line="540" w:lineRule="exact"/>
        <w:ind w:left="0" w:leftChars="0" w:firstLine="640"/>
        <w:jc w:val="center"/>
        <w:rPr>
          <w:rFonts w:hint="eastAsia"/>
        </w:rPr>
      </w:pPr>
    </w:p>
    <w:p w14:paraId="1B567FD5">
      <w:pPr>
        <w:rPr>
          <w:rFonts w:hint="eastAsia"/>
        </w:rPr>
      </w:pPr>
    </w:p>
    <w:p w14:paraId="59C6AAD9">
      <w:pPr>
        <w:tabs>
          <w:tab w:val="left" w:pos="5656"/>
        </w:tabs>
        <w:spacing w:line="540" w:lineRule="exact"/>
        <w:rPr>
          <w:rFonts w:hint="eastAsia" w:ascii="仿宋_GB2312" w:eastAsia="仿宋_GB2312"/>
          <w:sz w:val="28"/>
          <w:szCs w:val="28"/>
        </w:rPr>
      </w:pPr>
    </w:p>
    <w:p w14:paraId="00678ABD">
      <w:pPr>
        <w:tabs>
          <w:tab w:val="left" w:pos="5656"/>
        </w:tabs>
        <w:spacing w:line="540" w:lineRule="exact"/>
        <w:rPr>
          <w:rFonts w:hint="eastAsia" w:ascii="仿宋_GB2312" w:eastAsia="仿宋_GB2312"/>
          <w:sz w:val="28"/>
          <w:szCs w:val="28"/>
        </w:rPr>
      </w:pPr>
    </w:p>
    <w:p w14:paraId="4934B143">
      <w:pPr>
        <w:tabs>
          <w:tab w:val="left" w:pos="5656"/>
        </w:tabs>
        <w:spacing w:line="540" w:lineRule="exact"/>
        <w:rPr>
          <w:rFonts w:hint="eastAsia" w:ascii="仿宋_GB2312" w:eastAsia="仿宋_GB2312"/>
          <w:sz w:val="28"/>
          <w:szCs w:val="28"/>
        </w:rPr>
      </w:pPr>
    </w:p>
    <w:p w14:paraId="012BF497">
      <w:pPr>
        <w:tabs>
          <w:tab w:val="left" w:pos="5656"/>
        </w:tabs>
        <w:spacing w:line="540" w:lineRule="exact"/>
        <w:rPr>
          <w:rFonts w:hint="eastAsia" w:ascii="仿宋_GB2312" w:eastAsia="仿宋_GB2312"/>
          <w:sz w:val="28"/>
          <w:szCs w:val="28"/>
        </w:rPr>
      </w:pPr>
    </w:p>
    <w:p w14:paraId="6B420AA7">
      <w:pPr>
        <w:tabs>
          <w:tab w:val="left" w:pos="5656"/>
        </w:tabs>
        <w:spacing w:line="540" w:lineRule="exact"/>
        <w:rPr>
          <w:rFonts w:hint="eastAsia" w:ascii="仿宋_GB2312" w:eastAsia="仿宋_GB2312"/>
          <w:sz w:val="28"/>
          <w:szCs w:val="28"/>
        </w:rPr>
      </w:pPr>
    </w:p>
    <w:p w14:paraId="25DA04CA">
      <w:pPr>
        <w:tabs>
          <w:tab w:val="left" w:pos="5656"/>
        </w:tabs>
        <w:spacing w:line="54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案件数呈逐年递增趋势</w:t>
      </w:r>
    </w:p>
    <w:p w14:paraId="5283BFA9">
      <w:pPr>
        <w:tabs>
          <w:tab w:val="left" w:pos="5656"/>
        </w:tabs>
        <w:spacing w:line="540" w:lineRule="exact"/>
        <w:rPr>
          <w:rFonts w:hint="eastAsia" w:ascii="仿宋_GB2312" w:eastAsia="仿宋_GB2312"/>
          <w:sz w:val="28"/>
          <w:szCs w:val="28"/>
          <w:lang w:eastAsia="zh-CN"/>
        </w:rPr>
      </w:pPr>
    </w:p>
    <w:p w14:paraId="37F3499A">
      <w:pPr>
        <w:tabs>
          <w:tab w:val="left" w:pos="5656"/>
        </w:tabs>
        <w:spacing w:line="540" w:lineRule="exact"/>
        <w:rPr>
          <w:rFonts w:hint="eastAsia" w:ascii="仿宋_GB2312" w:eastAsia="仿宋_GB2312"/>
          <w:sz w:val="28"/>
          <w:szCs w:val="28"/>
        </w:rPr>
      </w:pPr>
    </w:p>
    <w:p w14:paraId="2AA2D24E">
      <w:pPr>
        <w:tabs>
          <w:tab w:val="left" w:pos="5656"/>
        </w:tabs>
        <w:spacing w:line="540" w:lineRule="exact"/>
        <w:rPr>
          <w:rFonts w:hint="eastAsia" w:ascii="仿宋_GB2312" w:eastAsia="仿宋_GB2312"/>
          <w:sz w:val="28"/>
          <w:szCs w:val="28"/>
        </w:rPr>
      </w:pPr>
      <w:r>
        <w:drawing>
          <wp:anchor distT="0" distB="0" distL="114300" distR="114300" simplePos="0" relativeHeight="251664384" behindDoc="0" locked="0" layoutInCell="1" allowOverlap="1">
            <wp:simplePos x="0" y="0"/>
            <wp:positionH relativeFrom="column">
              <wp:posOffset>710565</wp:posOffset>
            </wp:positionH>
            <wp:positionV relativeFrom="paragraph">
              <wp:posOffset>247650</wp:posOffset>
            </wp:positionV>
            <wp:extent cx="4572000" cy="2743200"/>
            <wp:effectExtent l="4445" t="4445" r="14605" b="14605"/>
            <wp:wrapNone/>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20E9BBD">
      <w:pPr>
        <w:tabs>
          <w:tab w:val="left" w:pos="5656"/>
        </w:tabs>
        <w:spacing w:line="540" w:lineRule="exact"/>
        <w:rPr>
          <w:rFonts w:hint="eastAsia" w:ascii="仿宋_GB2312" w:eastAsia="仿宋_GB2312"/>
          <w:sz w:val="28"/>
          <w:szCs w:val="28"/>
        </w:rPr>
      </w:pPr>
    </w:p>
    <w:p w14:paraId="10C615FF">
      <w:pPr>
        <w:tabs>
          <w:tab w:val="left" w:pos="5656"/>
        </w:tabs>
        <w:spacing w:line="540" w:lineRule="exact"/>
        <w:rPr>
          <w:rFonts w:hint="eastAsia" w:ascii="仿宋_GB2312" w:eastAsia="仿宋_GB2312"/>
          <w:sz w:val="28"/>
          <w:szCs w:val="28"/>
        </w:rPr>
      </w:pPr>
    </w:p>
    <w:p w14:paraId="4D3F34AF">
      <w:pPr>
        <w:tabs>
          <w:tab w:val="left" w:pos="5656"/>
        </w:tabs>
        <w:spacing w:line="540" w:lineRule="exact"/>
        <w:rPr>
          <w:rFonts w:hint="eastAsia" w:ascii="仿宋_GB2312" w:eastAsia="仿宋_GB2312"/>
          <w:sz w:val="28"/>
          <w:szCs w:val="28"/>
        </w:rPr>
      </w:pPr>
    </w:p>
    <w:p w14:paraId="55E03692">
      <w:pPr>
        <w:tabs>
          <w:tab w:val="left" w:pos="5656"/>
        </w:tabs>
        <w:spacing w:line="540" w:lineRule="exact"/>
        <w:rPr>
          <w:rFonts w:hint="eastAsia" w:ascii="仿宋_GB2312" w:eastAsia="仿宋_GB2312"/>
          <w:sz w:val="28"/>
          <w:szCs w:val="28"/>
        </w:rPr>
      </w:pPr>
    </w:p>
    <w:p w14:paraId="7A71EFF5">
      <w:pPr>
        <w:tabs>
          <w:tab w:val="left" w:pos="5656"/>
        </w:tabs>
        <w:spacing w:line="540" w:lineRule="exact"/>
        <w:rPr>
          <w:rFonts w:hint="eastAsia" w:ascii="仿宋_GB2312" w:eastAsia="仿宋_GB2312"/>
          <w:sz w:val="28"/>
          <w:szCs w:val="28"/>
        </w:rPr>
      </w:pPr>
    </w:p>
    <w:p w14:paraId="3151750B">
      <w:pPr>
        <w:tabs>
          <w:tab w:val="left" w:pos="5656"/>
        </w:tabs>
        <w:spacing w:line="540" w:lineRule="exact"/>
        <w:rPr>
          <w:rFonts w:hint="eastAsia" w:ascii="仿宋_GB2312" w:eastAsia="仿宋_GB2312"/>
          <w:sz w:val="28"/>
          <w:szCs w:val="28"/>
        </w:rPr>
      </w:pPr>
    </w:p>
    <w:p w14:paraId="39161A2B">
      <w:pPr>
        <w:tabs>
          <w:tab w:val="left" w:pos="5656"/>
        </w:tabs>
        <w:spacing w:line="540" w:lineRule="exact"/>
        <w:rPr>
          <w:rFonts w:hint="eastAsia" w:ascii="仿宋_GB2312" w:eastAsia="仿宋_GB2312"/>
          <w:sz w:val="28"/>
          <w:szCs w:val="28"/>
        </w:rPr>
      </w:pPr>
    </w:p>
    <w:p w14:paraId="12B56E65">
      <w:pPr>
        <w:tabs>
          <w:tab w:val="left" w:pos="5656"/>
        </w:tabs>
        <w:spacing w:line="540" w:lineRule="exact"/>
        <w:rPr>
          <w:rFonts w:hint="eastAsia" w:ascii="仿宋_GB2312" w:eastAsia="仿宋_GB2312"/>
          <w:sz w:val="28"/>
          <w:szCs w:val="28"/>
        </w:rPr>
      </w:pPr>
    </w:p>
    <w:p w14:paraId="54F937BF">
      <w:pPr>
        <w:pStyle w:val="2"/>
        <w:ind w:left="0" w:leftChars="0" w:firstLine="0" w:firstLineChars="0"/>
        <w:jc w:val="center"/>
        <w:rPr>
          <w:rFonts w:hint="eastAsia" w:ascii="仿宋_GB2312" w:eastAsia="仿宋_GB2312"/>
          <w:sz w:val="28"/>
          <w:szCs w:val="28"/>
          <w:lang w:eastAsia="zh-CN"/>
        </w:rPr>
      </w:pPr>
      <w:r>
        <w:rPr>
          <w:rFonts w:hint="eastAsia" w:ascii="仿宋_GB2312"/>
          <w:sz w:val="28"/>
          <w:szCs w:val="28"/>
          <w:lang w:eastAsia="zh-CN"/>
        </w:rPr>
        <w:t>刑事案件比逐年下降，非必要办案环节不断减少，办案质效不断提升</w:t>
      </w:r>
    </w:p>
    <w:p w14:paraId="0AC55951">
      <w:pPr>
        <w:rPr>
          <w:rFonts w:hint="eastAsia" w:ascii="仿宋_GB2312" w:eastAsia="仿宋_GB2312"/>
          <w:sz w:val="28"/>
          <w:szCs w:val="28"/>
        </w:rPr>
      </w:pPr>
    </w:p>
    <w:p w14:paraId="088B9068">
      <w:pPr>
        <w:pStyle w:val="2"/>
        <w:rPr>
          <w:rFonts w:hint="eastAsia" w:ascii="仿宋_GB2312" w:eastAsia="仿宋_GB2312"/>
          <w:sz w:val="28"/>
          <w:szCs w:val="28"/>
        </w:rPr>
      </w:pPr>
    </w:p>
    <w:p w14:paraId="19AB9D36">
      <w:pPr>
        <w:rPr>
          <w:rFonts w:hint="eastAsia"/>
        </w:rPr>
      </w:pPr>
      <w:r>
        <w:drawing>
          <wp:anchor distT="0" distB="0" distL="114300" distR="114300" simplePos="0" relativeHeight="251663360" behindDoc="0" locked="0" layoutInCell="1" allowOverlap="1">
            <wp:simplePos x="0" y="0"/>
            <wp:positionH relativeFrom="column">
              <wp:posOffset>422910</wp:posOffset>
            </wp:positionH>
            <wp:positionV relativeFrom="paragraph">
              <wp:posOffset>72390</wp:posOffset>
            </wp:positionV>
            <wp:extent cx="5146040" cy="3259455"/>
            <wp:effectExtent l="4445" t="4445" r="12065" b="1270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1F567E8">
      <w:pPr>
        <w:rPr>
          <w:rFonts w:hint="eastAsia"/>
        </w:rPr>
      </w:pPr>
    </w:p>
    <w:p w14:paraId="63316949">
      <w:pPr>
        <w:rPr>
          <w:rFonts w:hint="eastAsia" w:ascii="仿宋_GB2312" w:eastAsia="仿宋_GB2312"/>
          <w:sz w:val="28"/>
          <w:szCs w:val="28"/>
        </w:rPr>
      </w:pPr>
    </w:p>
    <w:p w14:paraId="5F1040CE">
      <w:pPr>
        <w:pStyle w:val="2"/>
        <w:rPr>
          <w:rFonts w:hint="eastAsia" w:ascii="仿宋_GB2312" w:eastAsia="仿宋_GB2312"/>
          <w:sz w:val="28"/>
          <w:szCs w:val="28"/>
        </w:rPr>
      </w:pPr>
    </w:p>
    <w:p w14:paraId="60C0C784">
      <w:pPr>
        <w:rPr>
          <w:rFonts w:hint="eastAsia" w:ascii="仿宋_GB2312" w:eastAsia="仿宋_GB2312"/>
          <w:sz w:val="28"/>
          <w:szCs w:val="28"/>
        </w:rPr>
      </w:pPr>
    </w:p>
    <w:p w14:paraId="136C62F2">
      <w:pPr>
        <w:pStyle w:val="2"/>
        <w:rPr>
          <w:rFonts w:hint="eastAsia" w:ascii="仿宋_GB2312" w:eastAsia="仿宋_GB2312"/>
          <w:sz w:val="28"/>
          <w:szCs w:val="28"/>
        </w:rPr>
      </w:pPr>
    </w:p>
    <w:p w14:paraId="315A669C">
      <w:pPr>
        <w:rPr>
          <w:rFonts w:hint="eastAsia" w:ascii="仿宋_GB2312" w:eastAsia="仿宋_GB2312"/>
          <w:sz w:val="28"/>
          <w:szCs w:val="28"/>
        </w:rPr>
      </w:pPr>
    </w:p>
    <w:p w14:paraId="4D208532">
      <w:pPr>
        <w:pStyle w:val="2"/>
        <w:rPr>
          <w:rFonts w:hint="eastAsia" w:ascii="仿宋_GB2312" w:eastAsia="仿宋_GB2312"/>
          <w:sz w:val="28"/>
          <w:szCs w:val="28"/>
        </w:rPr>
      </w:pPr>
    </w:p>
    <w:p w14:paraId="1514A9C7">
      <w:pPr>
        <w:rPr>
          <w:rFonts w:hint="eastAsia" w:ascii="仿宋_GB2312" w:eastAsia="仿宋_GB2312"/>
          <w:sz w:val="28"/>
          <w:szCs w:val="28"/>
        </w:rPr>
      </w:pPr>
    </w:p>
    <w:p w14:paraId="7B2290A4">
      <w:pPr>
        <w:pStyle w:val="2"/>
        <w:ind w:left="0" w:leftChars="0" w:firstLine="0" w:firstLineChars="0"/>
        <w:jc w:val="center"/>
        <w:rPr>
          <w:rFonts w:hint="eastAsia" w:ascii="仿宋_GB2312" w:eastAsia="仿宋_GB2312"/>
          <w:sz w:val="28"/>
          <w:szCs w:val="28"/>
          <w:lang w:eastAsia="zh-CN"/>
        </w:rPr>
      </w:pPr>
      <w:r>
        <w:rPr>
          <w:rFonts w:hint="eastAsia" w:ascii="仿宋_GB2312"/>
          <w:sz w:val="28"/>
          <w:szCs w:val="28"/>
          <w:lang w:eastAsia="zh-CN"/>
        </w:rPr>
        <w:t>刑事案件诉前羁押率逐年下降</w:t>
      </w:r>
    </w:p>
    <w:p w14:paraId="2D790BF2">
      <w:pPr>
        <w:rPr>
          <w:rFonts w:hint="eastAsia" w:ascii="仿宋_GB2312" w:eastAsia="仿宋_GB2312"/>
          <w:sz w:val="28"/>
          <w:szCs w:val="28"/>
        </w:rPr>
      </w:pPr>
      <w:r>
        <w:drawing>
          <wp:anchor distT="0" distB="0" distL="114300" distR="114300" simplePos="0" relativeHeight="251665408" behindDoc="0" locked="0" layoutInCell="1" allowOverlap="1">
            <wp:simplePos x="0" y="0"/>
            <wp:positionH relativeFrom="column">
              <wp:posOffset>422275</wp:posOffset>
            </wp:positionH>
            <wp:positionV relativeFrom="paragraph">
              <wp:posOffset>320040</wp:posOffset>
            </wp:positionV>
            <wp:extent cx="5073015" cy="3065145"/>
            <wp:effectExtent l="4445" t="4445" r="8890" b="1651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1410153">
      <w:pPr>
        <w:pStyle w:val="2"/>
        <w:rPr>
          <w:rFonts w:hint="eastAsia" w:ascii="仿宋_GB2312" w:eastAsia="仿宋_GB2312"/>
          <w:sz w:val="28"/>
          <w:szCs w:val="28"/>
        </w:rPr>
      </w:pPr>
    </w:p>
    <w:p w14:paraId="1994C341">
      <w:pPr>
        <w:rPr>
          <w:rFonts w:hint="eastAsia" w:ascii="仿宋_GB2312" w:eastAsia="仿宋_GB2312"/>
          <w:sz w:val="28"/>
          <w:szCs w:val="28"/>
        </w:rPr>
      </w:pPr>
    </w:p>
    <w:p w14:paraId="3334B8C6">
      <w:pPr>
        <w:pStyle w:val="2"/>
        <w:rPr>
          <w:rFonts w:hint="eastAsia" w:ascii="仿宋_GB2312" w:eastAsia="仿宋_GB2312"/>
          <w:sz w:val="28"/>
          <w:szCs w:val="28"/>
        </w:rPr>
      </w:pPr>
    </w:p>
    <w:p w14:paraId="7A634E15">
      <w:pPr>
        <w:rPr>
          <w:rFonts w:hint="eastAsia" w:ascii="仿宋_GB2312" w:eastAsia="仿宋_GB2312"/>
          <w:sz w:val="28"/>
          <w:szCs w:val="28"/>
        </w:rPr>
      </w:pPr>
    </w:p>
    <w:p w14:paraId="707FBC82">
      <w:pPr>
        <w:pStyle w:val="2"/>
        <w:rPr>
          <w:rFonts w:hint="eastAsia" w:ascii="仿宋_GB2312" w:eastAsia="仿宋_GB2312"/>
          <w:sz w:val="28"/>
          <w:szCs w:val="28"/>
        </w:rPr>
      </w:pPr>
    </w:p>
    <w:p w14:paraId="112EE6F9">
      <w:pPr>
        <w:rPr>
          <w:rFonts w:hint="eastAsia" w:ascii="仿宋_GB2312" w:eastAsia="仿宋_GB2312"/>
          <w:sz w:val="28"/>
          <w:szCs w:val="28"/>
        </w:rPr>
      </w:pPr>
    </w:p>
    <w:p w14:paraId="1FDCBA4B">
      <w:pPr>
        <w:pStyle w:val="2"/>
        <w:rPr>
          <w:rFonts w:hint="eastAsia" w:ascii="仿宋_GB2312" w:eastAsia="仿宋_GB2312"/>
          <w:sz w:val="28"/>
          <w:szCs w:val="28"/>
        </w:rPr>
      </w:pPr>
    </w:p>
    <w:p w14:paraId="55AC8644">
      <w:pPr>
        <w:jc w:val="center"/>
        <w:rPr>
          <w:rFonts w:hint="eastAsia" w:ascii="仿宋_GB2312" w:eastAsia="仿宋_GB2312"/>
          <w:sz w:val="28"/>
          <w:szCs w:val="28"/>
          <w:lang w:eastAsia="zh-CN"/>
        </w:rPr>
      </w:pPr>
      <w:r>
        <w:rPr>
          <w:rFonts w:hint="eastAsia" w:ascii="仿宋_GB2312" w:eastAsia="仿宋_GB2312"/>
          <w:sz w:val="28"/>
          <w:szCs w:val="28"/>
          <w:lang w:eastAsia="zh-CN"/>
        </w:rPr>
        <w:t>深入贯彻落实宽严相济和少捕慎诉慎押刑事司法政策</w:t>
      </w:r>
    </w:p>
    <w:p w14:paraId="60CB5DCF">
      <w:pPr>
        <w:pStyle w:val="2"/>
        <w:rPr>
          <w:rFonts w:hint="eastAsia"/>
          <w:lang w:eastAsia="zh-CN"/>
        </w:rPr>
      </w:pPr>
    </w:p>
    <w:p w14:paraId="7FAFC354">
      <w:pPr>
        <w:pStyle w:val="2"/>
        <w:rPr>
          <w:rFonts w:hint="eastAsia"/>
        </w:rPr>
      </w:pPr>
      <w:r>
        <w:drawing>
          <wp:anchor distT="0" distB="0" distL="114300" distR="114300" simplePos="0" relativeHeight="251667456" behindDoc="0" locked="0" layoutInCell="1" allowOverlap="1">
            <wp:simplePos x="0" y="0"/>
            <wp:positionH relativeFrom="column">
              <wp:posOffset>401320</wp:posOffset>
            </wp:positionH>
            <wp:positionV relativeFrom="paragraph">
              <wp:posOffset>414020</wp:posOffset>
            </wp:positionV>
            <wp:extent cx="5104130" cy="2905125"/>
            <wp:effectExtent l="4445" t="4445" r="15875" b="508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988BBAE">
      <w:pPr>
        <w:tabs>
          <w:tab w:val="left" w:pos="5656"/>
        </w:tabs>
        <w:spacing w:line="540" w:lineRule="exact"/>
        <w:rPr>
          <w:rFonts w:hint="eastAsia" w:ascii="仿宋_GB2312" w:eastAsia="仿宋_GB2312"/>
          <w:sz w:val="28"/>
          <w:szCs w:val="28"/>
        </w:rPr>
      </w:pPr>
    </w:p>
    <w:p w14:paraId="6EEB6BD3">
      <w:pPr>
        <w:tabs>
          <w:tab w:val="left" w:pos="5656"/>
        </w:tabs>
        <w:spacing w:line="540" w:lineRule="exact"/>
        <w:rPr>
          <w:rFonts w:hint="eastAsia" w:ascii="仿宋_GB2312" w:eastAsia="仿宋_GB2312"/>
          <w:sz w:val="28"/>
          <w:szCs w:val="28"/>
        </w:rPr>
      </w:pPr>
    </w:p>
    <w:p w14:paraId="1EE54273">
      <w:pPr>
        <w:tabs>
          <w:tab w:val="left" w:pos="5656"/>
        </w:tabs>
        <w:spacing w:line="540" w:lineRule="exact"/>
        <w:rPr>
          <w:rFonts w:hint="eastAsia" w:ascii="仿宋_GB2312" w:eastAsia="仿宋_GB2312"/>
          <w:sz w:val="28"/>
          <w:szCs w:val="28"/>
        </w:rPr>
      </w:pPr>
    </w:p>
    <w:p w14:paraId="56EDEDE7">
      <w:pPr>
        <w:tabs>
          <w:tab w:val="left" w:pos="5656"/>
        </w:tabs>
        <w:spacing w:line="540" w:lineRule="exact"/>
        <w:rPr>
          <w:rFonts w:hint="eastAsia" w:ascii="仿宋_GB2312" w:eastAsia="仿宋_GB2312"/>
          <w:sz w:val="28"/>
          <w:szCs w:val="28"/>
        </w:rPr>
      </w:pPr>
    </w:p>
    <w:p w14:paraId="120563A1">
      <w:pPr>
        <w:tabs>
          <w:tab w:val="left" w:pos="5656"/>
        </w:tabs>
        <w:spacing w:line="540" w:lineRule="exact"/>
        <w:rPr>
          <w:rFonts w:hint="eastAsia" w:ascii="仿宋_GB2312" w:eastAsia="仿宋_GB2312"/>
          <w:sz w:val="28"/>
          <w:szCs w:val="28"/>
        </w:rPr>
      </w:pPr>
    </w:p>
    <w:p w14:paraId="6BA35BBD">
      <w:pPr>
        <w:tabs>
          <w:tab w:val="left" w:pos="5656"/>
        </w:tabs>
        <w:spacing w:line="540" w:lineRule="exact"/>
        <w:rPr>
          <w:rFonts w:hint="eastAsia" w:ascii="仿宋_GB2312" w:eastAsia="仿宋_GB2312"/>
          <w:sz w:val="28"/>
          <w:szCs w:val="28"/>
        </w:rPr>
      </w:pPr>
    </w:p>
    <w:p w14:paraId="570C658A">
      <w:pPr>
        <w:tabs>
          <w:tab w:val="left" w:pos="5656"/>
        </w:tabs>
        <w:spacing w:line="540" w:lineRule="exact"/>
        <w:rPr>
          <w:rFonts w:hint="eastAsia" w:ascii="仿宋_GB2312" w:eastAsia="仿宋_GB2312"/>
          <w:sz w:val="28"/>
          <w:szCs w:val="28"/>
        </w:rPr>
      </w:pPr>
    </w:p>
    <w:p w14:paraId="07571DAA">
      <w:pPr>
        <w:tabs>
          <w:tab w:val="left" w:pos="5656"/>
        </w:tabs>
        <w:spacing w:line="540" w:lineRule="exact"/>
        <w:rPr>
          <w:rFonts w:hint="eastAsia" w:ascii="仿宋_GB2312" w:eastAsia="仿宋_GB2312"/>
          <w:sz w:val="28"/>
          <w:szCs w:val="28"/>
        </w:rPr>
      </w:pPr>
    </w:p>
    <w:p w14:paraId="3267B077">
      <w:pPr>
        <w:pStyle w:val="2"/>
        <w:rPr>
          <w:rFonts w:hint="eastAsia"/>
        </w:rPr>
      </w:pPr>
    </w:p>
    <w:p w14:paraId="32C789EE">
      <w:pPr>
        <w:tabs>
          <w:tab w:val="left" w:pos="5656"/>
        </w:tabs>
        <w:spacing w:line="54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认罪认罚适用率逐年递增，最大限度减少社会对抗，节约司法资源</w:t>
      </w:r>
    </w:p>
    <w:p w14:paraId="4D048034">
      <w:pPr>
        <w:tabs>
          <w:tab w:val="left" w:pos="5656"/>
        </w:tabs>
        <w:spacing w:line="540" w:lineRule="exact"/>
        <w:rPr>
          <w:rFonts w:hint="eastAsia" w:ascii="仿宋_GB2312" w:eastAsia="仿宋_GB2312"/>
          <w:sz w:val="28"/>
          <w:szCs w:val="28"/>
        </w:rPr>
      </w:pPr>
    </w:p>
    <w:p w14:paraId="5D28DF4A">
      <w:pPr>
        <w:tabs>
          <w:tab w:val="left" w:pos="5656"/>
        </w:tabs>
        <w:spacing w:line="540" w:lineRule="exact"/>
        <w:rPr>
          <w:rFonts w:hint="eastAsia" w:ascii="仿宋_GB2312" w:eastAsia="仿宋_GB2312"/>
          <w:sz w:val="28"/>
          <w:szCs w:val="28"/>
        </w:rPr>
      </w:pPr>
      <w:r>
        <w:rPr>
          <w:rFonts w:hint="eastAsia" w:ascii="仿宋_GB2312"/>
          <w:sz w:val="28"/>
        </w:rPr>
        <w:drawing>
          <wp:anchor distT="0" distB="0" distL="114300" distR="114300" simplePos="0" relativeHeight="251666432" behindDoc="0" locked="0" layoutInCell="1" allowOverlap="1">
            <wp:simplePos x="0" y="0"/>
            <wp:positionH relativeFrom="column">
              <wp:posOffset>2143125</wp:posOffset>
            </wp:positionH>
            <wp:positionV relativeFrom="paragraph">
              <wp:posOffset>110490</wp:posOffset>
            </wp:positionV>
            <wp:extent cx="1514475" cy="1514475"/>
            <wp:effectExtent l="0" t="0" r="9525" b="9525"/>
            <wp:wrapNone/>
            <wp:docPr id="3" name="图片 8" descr="微信图片_2020050818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微信图片_20200508182544"/>
                    <pic:cNvPicPr>
                      <a:picLocks noChangeAspect="1"/>
                    </pic:cNvPicPr>
                  </pic:nvPicPr>
                  <pic:blipFill>
                    <a:blip r:embed="rId11"/>
                    <a:stretch>
                      <a:fillRect/>
                    </a:stretch>
                  </pic:blipFill>
                  <pic:spPr>
                    <a:xfrm>
                      <a:off x="0" y="0"/>
                      <a:ext cx="1514475" cy="1514475"/>
                    </a:xfrm>
                    <a:prstGeom prst="rect">
                      <a:avLst/>
                    </a:prstGeom>
                    <a:noFill/>
                    <a:ln>
                      <a:noFill/>
                    </a:ln>
                  </pic:spPr>
                </pic:pic>
              </a:graphicData>
            </a:graphic>
          </wp:anchor>
        </w:drawing>
      </w:r>
    </w:p>
    <w:p w14:paraId="5CE7EAA7">
      <w:pPr>
        <w:pStyle w:val="2"/>
        <w:spacing w:after="0" w:line="540" w:lineRule="exact"/>
        <w:ind w:left="0" w:leftChars="0" w:firstLine="560"/>
        <w:rPr>
          <w:rFonts w:hint="eastAsia" w:ascii="仿宋_GB2312"/>
          <w:szCs w:val="32"/>
        </w:rPr>
      </w:pPr>
    </w:p>
    <w:p w14:paraId="451996B2">
      <w:pPr>
        <w:pStyle w:val="2"/>
        <w:spacing w:after="0" w:line="540" w:lineRule="exact"/>
        <w:ind w:left="0" w:leftChars="0" w:firstLine="0" w:firstLineChars="0"/>
        <w:jc w:val="center"/>
        <w:rPr>
          <w:rFonts w:hint="eastAsia"/>
        </w:rPr>
      </w:pPr>
    </w:p>
    <w:p w14:paraId="33D3F627">
      <w:pPr>
        <w:pStyle w:val="2"/>
        <w:spacing w:after="0" w:line="540" w:lineRule="exact"/>
        <w:ind w:left="0" w:leftChars="0" w:firstLine="640"/>
        <w:jc w:val="center"/>
        <w:rPr>
          <w:rFonts w:hint="eastAsia"/>
        </w:rPr>
      </w:pPr>
    </w:p>
    <w:p w14:paraId="68CCE61D">
      <w:pPr>
        <w:pStyle w:val="2"/>
        <w:ind w:left="0" w:leftChars="0" w:firstLine="0" w:firstLineChars="0"/>
        <w:rPr>
          <w:rFonts w:hint="eastAsia"/>
        </w:rPr>
      </w:pPr>
    </w:p>
    <w:p w14:paraId="6281585F">
      <w:pPr>
        <w:pStyle w:val="2"/>
        <w:spacing w:after="0" w:line="540" w:lineRule="exact"/>
        <w:ind w:left="0" w:leftChars="0" w:firstLine="0" w:firstLineChars="0"/>
        <w:jc w:val="center"/>
        <w:rPr>
          <w:rFonts w:hint="eastAsia" w:ascii="仿宋_GB2312"/>
          <w:sz w:val="32"/>
          <w:szCs w:val="32"/>
        </w:rPr>
      </w:pPr>
      <w:r>
        <w:rPr>
          <w:rFonts w:hint="eastAsia" w:ascii="仿宋_GB2312"/>
          <w:sz w:val="32"/>
          <w:szCs w:val="32"/>
        </w:rPr>
        <w:t>新干县人民检察院微信公众号</w:t>
      </w:r>
    </w:p>
    <w:p w14:paraId="53EB8B3C">
      <w:pPr>
        <w:pStyle w:val="2"/>
        <w:spacing w:after="0" w:line="540" w:lineRule="exact"/>
        <w:ind w:left="0" w:leftChars="0" w:firstLine="0" w:firstLineChars="0"/>
        <w:jc w:val="center"/>
        <w:rPr>
          <w:rFonts w:hint="eastAsia" w:ascii="仿宋_GB2312" w:eastAsia="仿宋_GB2312"/>
          <w:sz w:val="28"/>
          <w:szCs w:val="28"/>
        </w:rPr>
      </w:pPr>
      <w:r>
        <w:rPr>
          <w:rFonts w:hint="eastAsia" w:ascii="仿宋_GB2312"/>
          <w:sz w:val="32"/>
          <w:szCs w:val="32"/>
        </w:rPr>
        <w:t>Jaxgjcy</w:t>
      </w:r>
    </w:p>
    <w:p w14:paraId="4B173989">
      <w:pPr>
        <w:tabs>
          <w:tab w:val="left" w:pos="5656"/>
        </w:tabs>
        <w:spacing w:line="540" w:lineRule="exact"/>
        <w:rPr>
          <w:rFonts w:hint="eastAsia" w:ascii="仿宋_GB2312" w:eastAsia="仿宋_GB2312"/>
          <w:sz w:val="28"/>
          <w:szCs w:val="28"/>
        </w:rPr>
      </w:pPr>
    </w:p>
    <w:p w14:paraId="062C25DA">
      <w:pPr>
        <w:tabs>
          <w:tab w:val="left" w:pos="5656"/>
        </w:tabs>
        <w:spacing w:line="540" w:lineRule="exact"/>
        <w:rPr>
          <w:rFonts w:hint="eastAsia" w:ascii="仿宋_GB2312" w:eastAsia="仿宋_GB2312"/>
          <w:sz w:val="28"/>
          <w:szCs w:val="28"/>
        </w:rPr>
      </w:pPr>
    </w:p>
    <w:p w14:paraId="7B42EA88">
      <w:pPr>
        <w:tabs>
          <w:tab w:val="left" w:pos="5656"/>
        </w:tabs>
        <w:spacing w:line="540" w:lineRule="exact"/>
        <w:rPr>
          <w:rFonts w:hint="eastAsia" w:ascii="仿宋_GB2312" w:eastAsia="仿宋_GB2312"/>
          <w:sz w:val="28"/>
          <w:szCs w:val="28"/>
        </w:rPr>
      </w:pPr>
    </w:p>
    <w:p w14:paraId="637CF268">
      <w:pPr>
        <w:pStyle w:val="2"/>
        <w:rPr>
          <w:rFonts w:hint="eastAsia" w:ascii="仿宋_GB2312" w:eastAsia="仿宋_GB2312"/>
          <w:sz w:val="28"/>
          <w:szCs w:val="28"/>
        </w:rPr>
      </w:pPr>
    </w:p>
    <w:p w14:paraId="4A445486">
      <w:pPr>
        <w:rPr>
          <w:rFonts w:hint="eastAsia" w:ascii="仿宋_GB2312" w:eastAsia="仿宋_GB2312"/>
          <w:sz w:val="28"/>
          <w:szCs w:val="28"/>
        </w:rPr>
      </w:pPr>
    </w:p>
    <w:p w14:paraId="61FCEBA0">
      <w:pPr>
        <w:pStyle w:val="2"/>
        <w:rPr>
          <w:rFonts w:hint="eastAsia" w:ascii="仿宋_GB2312" w:eastAsia="仿宋_GB2312"/>
          <w:sz w:val="28"/>
          <w:szCs w:val="28"/>
        </w:rPr>
      </w:pPr>
    </w:p>
    <w:p w14:paraId="330A50A2">
      <w:pPr>
        <w:rPr>
          <w:rFonts w:hint="eastAsia" w:ascii="仿宋_GB2312" w:eastAsia="仿宋_GB2312"/>
          <w:sz w:val="28"/>
          <w:szCs w:val="28"/>
        </w:rPr>
      </w:pPr>
    </w:p>
    <w:p w14:paraId="232E6280">
      <w:pPr>
        <w:pStyle w:val="2"/>
        <w:rPr>
          <w:rFonts w:hint="eastAsia" w:ascii="仿宋_GB2312" w:eastAsia="仿宋_GB2312"/>
          <w:sz w:val="28"/>
          <w:szCs w:val="28"/>
        </w:rPr>
      </w:pPr>
    </w:p>
    <w:p w14:paraId="2E718235">
      <w:pPr>
        <w:rPr>
          <w:rFonts w:hint="eastAsia" w:ascii="仿宋_GB2312" w:eastAsia="仿宋_GB2312"/>
          <w:sz w:val="28"/>
          <w:szCs w:val="28"/>
        </w:rPr>
      </w:pPr>
    </w:p>
    <w:p w14:paraId="3BE18401">
      <w:pPr>
        <w:pStyle w:val="2"/>
        <w:rPr>
          <w:rFonts w:hint="eastAsia" w:ascii="仿宋_GB2312" w:eastAsia="仿宋_GB2312"/>
          <w:sz w:val="28"/>
          <w:szCs w:val="28"/>
        </w:rPr>
      </w:pPr>
    </w:p>
    <w:p w14:paraId="65238EC5">
      <w:pPr>
        <w:rPr>
          <w:rFonts w:hint="eastAsia" w:ascii="仿宋_GB2312" w:eastAsia="仿宋_GB2312"/>
          <w:sz w:val="28"/>
          <w:szCs w:val="28"/>
        </w:rPr>
      </w:pPr>
    </w:p>
    <w:p w14:paraId="0378DA3B">
      <w:pPr>
        <w:pStyle w:val="2"/>
        <w:rPr>
          <w:rFonts w:hint="eastAsia" w:ascii="仿宋_GB2312" w:eastAsia="仿宋_GB2312"/>
          <w:sz w:val="28"/>
          <w:szCs w:val="28"/>
        </w:rPr>
      </w:pPr>
    </w:p>
    <w:p w14:paraId="4D676B1B">
      <w:pPr>
        <w:rPr>
          <w:rFonts w:hint="eastAsia" w:ascii="仿宋_GB2312" w:eastAsia="仿宋_GB2312"/>
          <w:sz w:val="28"/>
          <w:szCs w:val="28"/>
        </w:rPr>
      </w:pPr>
    </w:p>
    <w:p w14:paraId="4A2C57C4">
      <w:pPr>
        <w:pStyle w:val="2"/>
        <w:rPr>
          <w:rFonts w:hint="eastAsia" w:ascii="仿宋_GB2312" w:eastAsia="仿宋_GB2312"/>
          <w:sz w:val="28"/>
          <w:szCs w:val="28"/>
        </w:rPr>
      </w:pPr>
    </w:p>
    <w:p w14:paraId="0AA7A43D">
      <w:pPr>
        <w:rPr>
          <w:rFonts w:hint="eastAsia" w:ascii="仿宋_GB2312" w:eastAsia="仿宋_GB2312"/>
          <w:sz w:val="28"/>
          <w:szCs w:val="28"/>
        </w:rPr>
      </w:pPr>
    </w:p>
    <w:p w14:paraId="36E7F8F3">
      <w:pPr>
        <w:pStyle w:val="2"/>
        <w:rPr>
          <w:rFonts w:hint="eastAsia" w:ascii="仿宋_GB2312" w:eastAsia="仿宋_GB2312"/>
          <w:sz w:val="28"/>
          <w:szCs w:val="28"/>
        </w:rPr>
      </w:pPr>
    </w:p>
    <w:p w14:paraId="552B5AD8">
      <w:pPr>
        <w:rPr>
          <w:rFonts w:hint="eastAsia" w:ascii="仿宋_GB2312" w:eastAsia="仿宋_GB2312"/>
          <w:sz w:val="28"/>
          <w:szCs w:val="28"/>
        </w:rPr>
      </w:pPr>
    </w:p>
    <w:p w14:paraId="11A17E6F">
      <w:pPr>
        <w:pStyle w:val="2"/>
        <w:rPr>
          <w:rFonts w:hint="eastAsia" w:ascii="仿宋_GB2312" w:eastAsia="仿宋_GB2312"/>
          <w:sz w:val="28"/>
          <w:szCs w:val="28"/>
        </w:rPr>
      </w:pPr>
    </w:p>
    <w:p w14:paraId="4D3F60ED">
      <w:pPr>
        <w:rPr>
          <w:rFonts w:hint="eastAsia" w:ascii="仿宋_GB2312" w:eastAsia="仿宋_GB2312"/>
          <w:sz w:val="28"/>
          <w:szCs w:val="28"/>
        </w:rPr>
      </w:pPr>
    </w:p>
    <w:p w14:paraId="49EE575C">
      <w:pPr>
        <w:tabs>
          <w:tab w:val="left" w:pos="5656"/>
        </w:tabs>
        <w:spacing w:line="540" w:lineRule="exact"/>
        <w:rPr>
          <w:rFonts w:hint="eastAsia" w:ascii="仿宋_GB2312" w:eastAsia="仿宋_GB2312"/>
          <w:sz w:val="28"/>
          <w:szCs w:val="28"/>
        </w:rPr>
      </w:pPr>
    </w:p>
    <w:p w14:paraId="65044456">
      <w:pPr>
        <w:tabs>
          <w:tab w:val="left" w:pos="5656"/>
        </w:tabs>
        <w:spacing w:line="540" w:lineRule="exact"/>
        <w:rPr>
          <w:rFonts w:hint="eastAsia" w:ascii="仿宋_GB2312" w:eastAsia="仿宋_GB2312"/>
          <w:sz w:val="28"/>
          <w:szCs w:val="28"/>
        </w:rPr>
      </w:pPr>
    </w:p>
    <w:p w14:paraId="40CEBF6C">
      <w:pPr>
        <w:tabs>
          <w:tab w:val="left" w:pos="5656"/>
        </w:tabs>
        <w:spacing w:line="540" w:lineRule="exact"/>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339725</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75pt;height:0pt;width:441pt;z-index:251660288;mso-width-relative:page;mso-height-relative:page;" filled="f" stroked="t" coordsize="21600,21600" o:gfxdata="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vObhtMAAAAGAQAADwAAAAAAAAABACAAAAAiAAAAZHJzL2Rvd25yZXYueG1sUEsB&#10;AhQAFAAAAAgAh07iQGC26L/6AQAA8gMAAA4AAAAAAAAAAQAgAAAAIgEAAGRycy9lMm9Eb2MueG1s&#10;UEsFBgAAAAAGAAYAWQEAAI4FAAAAAA==&#10;">
                <v:fill on="f" focussize="0,0"/>
                <v:stroke color="#000000" joinstyle="round"/>
                <v:imagedata o:title=""/>
                <o:lock v:ext="edit" aspectratio="f"/>
              </v:line>
            </w:pict>
          </mc:Fallback>
        </mc:AlternateContent>
      </w:r>
    </w:p>
    <w:p w14:paraId="59680E6C">
      <w:pPr>
        <w:spacing w:line="400" w:lineRule="exact"/>
        <w:ind w:left="-540" w:leftChars="-257" w:firstLine="784" w:firstLineChars="280"/>
        <w:rPr>
          <w:rFonts w:hint="eastAsia"/>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314960</wp:posOffset>
                </wp:positionV>
                <wp:extent cx="56007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8pt;height:0pt;width:441pt;z-index:251661312;mso-width-relative:page;mso-height-relative:page;" filled="f" stroked="t" coordsize="21600,21600" o:gfxdata="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ecObDU8Juvv/58&#10;+X77+xutNz9/sHkWqQ9YUeyVW8fjDsM6Zsb7Jtr8Jy5sPwh7OAmr9okJOpxflOXLkjQXd77i/mKI&#10;mN4qb1k2am60y5yhgt07TJSMQu9C8rFxrK/56/mMChZ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JVXQLTAAAABgEAAA8AAAAAAAAAAQAgAAAAIgAAAGRycy9kb3ducmV2LnhtbFBLAQIUABQA&#10;AAAIAIdO4kDiz5gn9QEAAOQ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28"/>
          <w:szCs w:val="28"/>
        </w:rPr>
        <w:t>县十八届人大二次会议秘书处                 2022年2月10日印</w: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314960</wp:posOffset>
                </wp:positionV>
                <wp:extent cx="56007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8pt;height:0pt;width:441pt;z-index:251659264;mso-width-relative:page;mso-height-relative:page;" filled="f" stroked="t" coordsize="21600,21600" o:gfxdata="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VV0C0wAAAAYBAAAPAAAAAAAAAAEAIAAAACIAAABkcnMvZG93bnJldi54bWxQSwEC&#10;FAAUAAAACACHTuJAf9m/IfkBAADyAwAADgAAAAAAAAABACAAAAAiAQAAZHJzL2Uyb0RvYy54bWxQ&#10;SwUGAAAAAAYABgBZAQAAjQUAAAAA&#10;">
                <v:fill on="f" focussize="0,0"/>
                <v:stroke color="#000000" joinstyle="round"/>
                <v:imagedata o:title=""/>
                <o:lock v:ext="edit" aspectratio="f"/>
              </v:line>
            </w:pict>
          </mc:Fallback>
        </mc:AlternateContent>
      </w:r>
    </w:p>
    <w:p w14:paraId="3A8B2C1E"/>
    <w:bookmarkEnd w:id="0"/>
    <w:sectPr>
      <w:footerReference r:id="rId3" w:type="default"/>
      <w:pgSz w:w="11907" w:h="16840" w:orient="landscape"/>
      <w:pgMar w:top="1797" w:right="1327" w:bottom="1797" w:left="132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EACD">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81571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E81571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19437"/>
    <w:multiLevelType w:val="singleLevel"/>
    <w:tmpl w:val="F1319437"/>
    <w:lvl w:ilvl="0" w:tentative="0">
      <w:start w:val="3"/>
      <w:numFmt w:val="chineseCounting"/>
      <w:suff w:val="nothing"/>
      <w:lvlText w:val="%1、"/>
      <w:lvlJc w:val="left"/>
      <w:rPr>
        <w:rFonts w:hint="eastAsia"/>
      </w:rPr>
    </w:lvl>
  </w:abstractNum>
  <w:abstractNum w:abstractNumId="1">
    <w:nsid w:val="62023ED0"/>
    <w:multiLevelType w:val="singleLevel"/>
    <w:tmpl w:val="62023ED0"/>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03EEE"/>
    <w:rsid w:val="1E255932"/>
    <w:rsid w:val="33803EEE"/>
    <w:rsid w:val="390D6D08"/>
    <w:rsid w:val="3D95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200" w:leftChars="200" w:firstLine="420" w:firstLineChars="200"/>
    </w:pPr>
    <w:rPr>
      <w:rFonts w:ascii="Times New Roman"/>
    </w:rPr>
  </w:style>
  <w:style w:type="paragraph" w:styleId="3">
    <w:name w:val="Body Text Indent"/>
    <w:basedOn w:val="1"/>
    <w:next w:val="4"/>
    <w:qFormat/>
    <w:uiPriority w:val="0"/>
    <w:pPr>
      <w:spacing w:line="600" w:lineRule="exact"/>
      <w:ind w:firstLine="640" w:firstLineChars="200"/>
    </w:pPr>
    <w:rPr>
      <w:rFonts w:eastAsia="仿宋_GB2312"/>
      <w:sz w:val="32"/>
      <w:szCs w:val="28"/>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NormalCharacter"/>
    <w:link w:val="1"/>
    <w:semiHidden/>
    <w:qFormat/>
    <w:uiPriority w:val="0"/>
    <w:rPr>
      <w:rFonts w:ascii="Calibri" w:hAnsi="Calibri" w:eastAsia="仿宋_GB2312" w:cs="仿宋_GB2312"/>
      <w:ker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1150;&#20844;&#23460;&#24037;&#20316;\&#21508;&#31867;&#26448;&#26009;\2022\2021&#24037;&#20316;&#25253;&#21578;\&#24037;&#20316;&#31807;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Users\Administrator\My%20Document\WeChat%20Files\wxid_y8rncrdph4y722\FileStorage\File\2022-02\&#24037;&#20316;&#3180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920" b="1" i="0" u="none" strike="noStrike" kern="1200" spc="0" baseline="0">
                <a:solidFill>
                  <a:srgbClr val="595959">
                    <a:lumMod val="65000"/>
                    <a:lumOff val="35000"/>
                  </a:srgbClr>
                </a:solidFill>
                <a:latin typeface="+mn-lt"/>
                <a:ea typeface="+mn-ea"/>
                <a:cs typeface="+mn-cs"/>
              </a:defRPr>
            </a:pPr>
            <a:r>
              <a:rPr sz="1920" b="1"/>
              <a:t>2019-2021年案件数情况</a:t>
            </a:r>
            <a:endParaRPr sz="1920" b="1"/>
          </a:p>
        </c:rich>
      </c:tx>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600" b="1" i="0" u="none" strike="noStrike" kern="1200" baseline="0">
                    <a:solidFill>
                      <a:srgbClr val="404040">
                        <a:lumMod val="75000"/>
                        <a:lumOff val="25000"/>
                      </a:srgb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trendline>
            <c:spPr>
              <a:ln w="19050" cap="rnd">
                <a:solidFill>
                  <a:srgbClr val="4F81BD"/>
                </a:solidFill>
                <a:prstDash val="sysDot"/>
              </a:ln>
              <a:effectLst/>
            </c:spPr>
            <c:trendlineType val="linear"/>
            <c:dispRSqr val="0"/>
            <c:dispEq val="0"/>
          </c:trendline>
          <c:cat>
            <c:strRef>
              <c:f>[工作簿6.xlsx]Sheet2!$A$3:$A$5</c:f>
              <c:strCache>
                <c:ptCount val="3"/>
                <c:pt idx="0">
                  <c:v>2019年</c:v>
                </c:pt>
                <c:pt idx="1">
                  <c:v>2020年</c:v>
                </c:pt>
                <c:pt idx="2">
                  <c:v>2021年</c:v>
                </c:pt>
              </c:strCache>
            </c:strRef>
          </c:cat>
          <c:val>
            <c:numRef>
              <c:f>[工作簿6.xlsx]Sheet2!$B$3:$B$5</c:f>
              <c:numCache>
                <c:formatCode>General</c:formatCode>
                <c:ptCount val="3"/>
                <c:pt idx="0">
                  <c:v>741</c:v>
                </c:pt>
                <c:pt idx="1">
                  <c:v>804</c:v>
                </c:pt>
                <c:pt idx="2">
                  <c:v>948</c:v>
                </c:pt>
              </c:numCache>
            </c:numRef>
          </c:val>
        </c:ser>
        <c:dLbls>
          <c:showLegendKey val="0"/>
          <c:showVal val="0"/>
          <c:showCatName val="0"/>
          <c:showSerName val="0"/>
          <c:showPercent val="0"/>
          <c:showBubbleSize val="0"/>
        </c:dLbls>
        <c:gapWidth val="219"/>
        <c:overlap val="-27"/>
        <c:axId val="967592013"/>
        <c:axId val="303012518"/>
      </c:barChart>
      <c:catAx>
        <c:axId val="967592013"/>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1600" b="1" i="0" u="none" strike="noStrike" kern="1200" baseline="0">
                <a:solidFill>
                  <a:srgbClr val="595959">
                    <a:lumMod val="65000"/>
                    <a:lumOff val="35000"/>
                  </a:srgbClr>
                </a:solidFill>
                <a:latin typeface="+mn-lt"/>
                <a:ea typeface="+mn-ea"/>
                <a:cs typeface="+mn-cs"/>
              </a:defRPr>
            </a:pPr>
          </a:p>
        </c:txPr>
        <c:crossAx val="303012518"/>
        <c:crosses val="autoZero"/>
        <c:auto val="1"/>
        <c:lblAlgn val="ctr"/>
        <c:lblOffset val="100"/>
        <c:noMultiLvlLbl val="0"/>
      </c:catAx>
      <c:valAx>
        <c:axId val="303012518"/>
        <c:scaling>
          <c:orientation val="minMax"/>
          <c:max val="1500"/>
          <c:min val="0"/>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600" b="1" i="0" u="none" strike="noStrike" kern="1200" baseline="0">
                <a:solidFill>
                  <a:srgbClr val="595959">
                    <a:lumMod val="65000"/>
                    <a:lumOff val="35000"/>
                  </a:srgbClr>
                </a:solidFill>
                <a:latin typeface="+mn-lt"/>
                <a:ea typeface="+mn-ea"/>
                <a:cs typeface="+mn-cs"/>
              </a:defRPr>
            </a:pPr>
          </a:p>
        </c:txPr>
        <c:crossAx val="967592013"/>
        <c:crosses val="autoZero"/>
        <c:crossBetween val="between"/>
      </c:valAx>
      <c:spPr>
        <a:noFill/>
        <a:ln>
          <a:noFill/>
        </a:ln>
        <a:effectLst/>
      </c:spPr>
    </c:plotArea>
    <c:plotVisOnly val="1"/>
    <c:dispBlanksAs val="gap"/>
    <c:showDLblsOverMax val="0"/>
    <c:extLst>
      <c:ext uri="{0b15fc19-7d7d-44ad-8c2d-2c3a37ce22c3}">
        <chartProps xmlns="https://web.wps.cn/et/2018/main" chartId="{e1c87ed9-da57-4ffd-9287-68c9ed2faae1}"/>
      </c:ext>
    </c:extLst>
  </c:chart>
  <c:spPr>
    <a:solidFill>
      <a:srgbClr val="FFFFFF"/>
    </a:solidFill>
    <a:ln w="9525" cap="flat" cmpd="sng" algn="ctr">
      <a:solidFill>
        <a:srgbClr val="D9D9D9">
          <a:lumMod val="15000"/>
          <a:lumOff val="85000"/>
        </a:srgbClr>
      </a:solidFill>
      <a:round/>
    </a:ln>
    <a:effectLst/>
  </c:spPr>
  <c:txPr>
    <a:bodyPr/>
    <a:lstStyle/>
    <a:p>
      <a:pPr>
        <a:defRPr lang="zh-CN" sz="1600"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rgbClr val="595959">
                    <a:lumMod val="65000"/>
                    <a:lumOff val="35000"/>
                  </a:srgbClr>
                </a:solidFill>
                <a:latin typeface="+mn-lt"/>
                <a:ea typeface="+mn-ea"/>
                <a:cs typeface="+mn-cs"/>
              </a:defRPr>
            </a:pPr>
            <a:r>
              <a:rPr lang="en-US" altLang="zh-CN" sz="1800" b="1"/>
              <a:t>2019-2021</a:t>
            </a:r>
            <a:r>
              <a:rPr altLang="en-US" sz="1800" b="1"/>
              <a:t>年刑事案件比</a:t>
            </a:r>
            <a:endParaRPr altLang="en-US" sz="1800" b="1"/>
          </a:p>
        </c:rich>
      </c:tx>
      <c:layout>
        <c:manualLayout>
          <c:xMode val="edge"/>
          <c:yMode val="edge"/>
          <c:x val="0.243611111111111"/>
          <c:y val="0.0381944444444444"/>
        </c:manualLayout>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600" b="1"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trendline>
            <c:spPr>
              <a:ln w="19050" cap="rnd">
                <a:solidFill>
                  <a:srgbClr val="4F81BD"/>
                </a:solidFill>
                <a:prstDash val="sysDot"/>
              </a:ln>
              <a:effectLst/>
            </c:spPr>
            <c:trendlineType val="linear"/>
            <c:dispRSqr val="0"/>
            <c:dispEq val="0"/>
          </c:trendline>
          <c:val>
            <c:numRef>
              <c:f>[工作簿2]Sheet1!$A$1:$A$3</c:f>
              <c:numCache>
                <c:formatCode>General</c:formatCode>
                <c:ptCount val="3"/>
                <c:pt idx="0">
                  <c:v>2.14</c:v>
                </c:pt>
                <c:pt idx="1">
                  <c:v>1.83</c:v>
                </c:pt>
                <c:pt idx="2">
                  <c:v>1.06</c:v>
                </c:pt>
              </c:numCache>
            </c:numRef>
          </c:val>
        </c:ser>
        <c:dLbls>
          <c:showLegendKey val="0"/>
          <c:showVal val="1"/>
          <c:showCatName val="0"/>
          <c:showSerName val="0"/>
          <c:showPercent val="0"/>
          <c:showBubbleSize val="0"/>
        </c:dLbls>
        <c:gapWidth val="219"/>
        <c:overlap val="-27"/>
        <c:axId val="234614130"/>
        <c:axId val="178488333"/>
      </c:barChart>
      <c:catAx>
        <c:axId val="234614130"/>
        <c:scaling>
          <c:orientation val="minMax"/>
        </c:scaling>
        <c:delete val="1"/>
        <c:axPos val="b"/>
        <c:title>
          <c:tx>
            <c:rich>
              <a:bodyPr rot="0" spcFirstLastPara="0" vertOverflow="ellipsis" vert="horz" wrap="square" anchor="ctr" anchorCtr="1"/>
              <a:lstStyle/>
              <a:p>
                <a:pPr defTabSz="914400">
                  <a:defRPr lang="zh-CN" sz="1000" b="1" i="0" u="none" strike="noStrike" kern="1200" baseline="0">
                    <a:solidFill>
                      <a:srgbClr val="595959">
                        <a:lumMod val="65000"/>
                        <a:lumOff val="35000"/>
                      </a:srgbClr>
                    </a:solidFill>
                    <a:latin typeface="+mn-lt"/>
                    <a:ea typeface="+mn-ea"/>
                    <a:cs typeface="+mn-cs"/>
                  </a:defRPr>
                </a:pPr>
                <a:r>
                  <a:rPr lang="en-US" altLang="zh-CN" sz="1600" b="1"/>
                  <a:t>2019</a:t>
                </a:r>
                <a:r>
                  <a:rPr altLang="en-US" sz="1600" b="1"/>
                  <a:t>年</a:t>
                </a:r>
                <a:r>
                  <a:rPr lang="en-US" altLang="zh-CN" sz="1600" b="1"/>
                  <a:t>                2020</a:t>
                </a:r>
                <a:r>
                  <a:rPr altLang="en-US" sz="1600" b="1"/>
                  <a:t>年</a:t>
                </a:r>
                <a:r>
                  <a:rPr lang="en-US" altLang="zh-CN" sz="1600" b="1"/>
                  <a:t>               2021</a:t>
                </a:r>
                <a:r>
                  <a:rPr altLang="en-US" sz="1600" b="1"/>
                  <a:t>年</a:t>
                </a:r>
                <a:r>
                  <a:rPr lang="en-US" altLang="zh-CN" sz="1600" b="1"/>
                  <a:t>            </a:t>
                </a:r>
                <a:endParaRPr lang="en-US" altLang="zh-CN" sz="1600" b="1"/>
              </a:p>
            </c:rich>
          </c:tx>
          <c:layout/>
          <c:overlay val="0"/>
          <c:spPr>
            <a:noFill/>
            <a:ln>
              <a:noFill/>
            </a:ln>
            <a:effectLst/>
          </c:spPr>
        </c:title>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8488333"/>
        <c:crosses val="autoZero"/>
        <c:auto val="1"/>
        <c:lblAlgn val="ctr"/>
        <c:lblOffset val="100"/>
        <c:noMultiLvlLbl val="0"/>
      </c:catAx>
      <c:valAx>
        <c:axId val="178488333"/>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34614130"/>
        <c:crosses val="autoZero"/>
        <c:crossBetween val="between"/>
      </c:valAx>
      <c:spPr>
        <a:noFill/>
        <a:ln>
          <a:noFill/>
        </a:ln>
        <a:effectLst/>
      </c:spPr>
    </c:plotArea>
    <c:plotVisOnly val="1"/>
    <c:dispBlanksAs val="gap"/>
    <c:showDLblsOverMax val="0"/>
    <c:extLst>
      <c:ext uri="{0b15fc19-7d7d-44ad-8c2d-2c3a37ce22c3}">
        <chartProps xmlns="https://web.wps.cn/et/2018/main" chartId="{27017b6a-c9c8-4239-8ace-47f7f08bcd86}"/>
      </c:ext>
    </c:extLst>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920" b="1" i="0" u="none" strike="noStrike" kern="1200" spc="0" baseline="0">
                <a:solidFill>
                  <a:srgbClr val="595959">
                    <a:lumMod val="65000"/>
                    <a:lumOff val="35000"/>
                  </a:srgbClr>
                </a:solidFill>
                <a:latin typeface="+mn-lt"/>
                <a:ea typeface="+mn-ea"/>
                <a:cs typeface="+mn-cs"/>
              </a:defRPr>
            </a:pPr>
            <a:r>
              <a:rPr lang="en-US" altLang="zh-CN" sz="1920" b="1"/>
              <a:t>2019-2021</a:t>
            </a:r>
            <a:r>
              <a:rPr altLang="en-US" sz="1920" b="1"/>
              <a:t>年刑事案件诉前羁押率</a:t>
            </a:r>
            <a:endParaRPr altLang="en-US" sz="1920" b="1"/>
          </a:p>
        </c:rich>
      </c:tx>
      <c:layout>
        <c:manualLayout>
          <c:xMode val="edge"/>
          <c:yMode val="edge"/>
          <c:x val="0.25231435887335"/>
          <c:y val="0.0265060240963855"/>
        </c:manualLayout>
      </c:layout>
      <c:overlay val="0"/>
      <c:spPr>
        <a:noFill/>
        <a:ln>
          <a:noFill/>
        </a:ln>
        <a:effectLst/>
      </c:spPr>
    </c:title>
    <c:autoTitleDeleted val="0"/>
    <c:plotArea>
      <c:layout>
        <c:manualLayout>
          <c:layoutTarget val="inner"/>
          <c:xMode val="edge"/>
          <c:yMode val="edge"/>
          <c:x val="0.0984572303990283"/>
          <c:y val="0.157286499705176"/>
          <c:w val="0.850789627607721"/>
          <c:h val="0.717074829931973"/>
        </c:manualLayout>
      </c:layout>
      <c:barChart>
        <c:barDir val="col"/>
        <c:grouping val="clustered"/>
        <c:varyColors val="0"/>
        <c:ser>
          <c:idx val="0"/>
          <c:order val="0"/>
          <c:tx>
            <c:strRef>
              <c:f>[工作簿1]Sheet1!$B$1</c:f>
              <c:strCache>
                <c:ptCount val="1"/>
                <c:pt idx="0">
                  <c:v>比例</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600" b="1"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trendline>
            <c:spPr>
              <a:ln w="19050" cap="rnd">
                <a:solidFill>
                  <a:srgbClr val="4F81BD"/>
                </a:solidFill>
                <a:prstDash val="sysDot"/>
              </a:ln>
              <a:effectLst/>
            </c:spPr>
            <c:trendlineType val="linear"/>
            <c:dispRSqr val="0"/>
            <c:dispEq val="0"/>
          </c:trendline>
          <c:val>
            <c:numRef>
              <c:f>[工作簿1]Sheet1!$B$2:$B$4</c:f>
              <c:numCache>
                <c:formatCode>0.00%</c:formatCode>
                <c:ptCount val="3"/>
                <c:pt idx="0">
                  <c:v>0.9179</c:v>
                </c:pt>
                <c:pt idx="1">
                  <c:v>0.6171</c:v>
                </c:pt>
                <c:pt idx="2">
                  <c:v>0.5921</c:v>
                </c:pt>
              </c:numCache>
            </c:numRef>
          </c:val>
        </c:ser>
        <c:dLbls>
          <c:showLegendKey val="0"/>
          <c:showVal val="1"/>
          <c:showCatName val="0"/>
          <c:showSerName val="0"/>
          <c:showPercent val="0"/>
          <c:showBubbleSize val="0"/>
        </c:dLbls>
        <c:gapWidth val="219"/>
        <c:overlap val="-27"/>
        <c:axId val="824777480"/>
        <c:axId val="114276110"/>
      </c:barChart>
      <c:catAx>
        <c:axId val="824777480"/>
        <c:scaling>
          <c:orientation val="minMax"/>
        </c:scaling>
        <c:delete val="1"/>
        <c:axPos val="b"/>
        <c:title>
          <c:tx>
            <c:rich>
              <a:bodyPr rot="0" spcFirstLastPara="0" vertOverflow="ellipsis" vert="horz" wrap="square" anchor="ctr" anchorCtr="1"/>
              <a:lstStyle/>
              <a:p>
                <a:pPr defTabSz="914400">
                  <a:defRPr lang="zh-CN" sz="1600" b="1" i="0" u="none" strike="noStrike" kern="1200" baseline="0">
                    <a:solidFill>
                      <a:srgbClr val="595959">
                        <a:lumMod val="65000"/>
                        <a:lumOff val="35000"/>
                      </a:srgbClr>
                    </a:solidFill>
                    <a:latin typeface="+mn-lt"/>
                    <a:ea typeface="+mn-ea"/>
                    <a:cs typeface="+mn-cs"/>
                  </a:defRPr>
                </a:pPr>
                <a:r>
                  <a:rPr lang="en-US" altLang="zh-CN" sz="1600" b="1"/>
                  <a:t>2019</a:t>
                </a:r>
                <a:r>
                  <a:rPr altLang="en-US" sz="1600" b="1"/>
                  <a:t>年</a:t>
                </a:r>
                <a:r>
                  <a:rPr lang="en-US" altLang="zh-CN" sz="1600" b="1"/>
                  <a:t>                            2020</a:t>
                </a:r>
                <a:r>
                  <a:rPr altLang="en-US" sz="1600" b="1"/>
                  <a:t>年</a:t>
                </a:r>
                <a:r>
                  <a:rPr lang="en-US" altLang="zh-CN" sz="1600" b="1"/>
                  <a:t>                          2021</a:t>
                </a:r>
                <a:r>
                  <a:rPr altLang="en-US" sz="1600" b="1"/>
                  <a:t>年</a:t>
                </a:r>
                <a:endParaRPr altLang="en-US" sz="1600" b="1"/>
              </a:p>
            </c:rich>
          </c:tx>
          <c:layout/>
          <c:overlay val="0"/>
          <c:spPr>
            <a:noFill/>
            <a:ln>
              <a:noFill/>
            </a:ln>
            <a:effectLst/>
          </c:spPr>
        </c:title>
        <c:majorTickMark val="out"/>
        <c:minorTickMark val="none"/>
        <c:tickLblPos val="nextTo"/>
        <c:txPr>
          <a:bodyPr rot="-60000000" spcFirstLastPara="0" vertOverflow="ellipsis" vert="horz" wrap="square" anchor="ctr" anchorCtr="1"/>
          <a:lstStyle/>
          <a:p>
            <a:pPr>
              <a:defRPr lang="zh-CN" sz="1600" b="0" i="0" u="none" strike="noStrike" kern="1200" baseline="0">
                <a:solidFill>
                  <a:srgbClr val="595959">
                    <a:lumMod val="65000"/>
                    <a:lumOff val="35000"/>
                  </a:srgbClr>
                </a:solidFill>
                <a:latin typeface="+mn-lt"/>
                <a:ea typeface="+mn-ea"/>
                <a:cs typeface="+mn-cs"/>
              </a:defRPr>
            </a:pPr>
          </a:p>
        </c:txPr>
        <c:crossAx val="114276110"/>
        <c:crosses val="autoZero"/>
        <c:auto val="1"/>
        <c:lblAlgn val="ctr"/>
        <c:lblOffset val="100"/>
        <c:noMultiLvlLbl val="0"/>
      </c:catAx>
      <c:valAx>
        <c:axId val="114276110"/>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1600" b="0" i="0" u="none" strike="noStrike" kern="1200" baseline="0">
                <a:solidFill>
                  <a:srgbClr val="595959">
                    <a:lumMod val="65000"/>
                    <a:lumOff val="35000"/>
                  </a:srgbClr>
                </a:solidFill>
                <a:latin typeface="+mn-lt"/>
                <a:ea typeface="+mn-ea"/>
                <a:cs typeface="+mn-cs"/>
              </a:defRPr>
            </a:pPr>
          </a:p>
        </c:txPr>
        <c:crossAx val="824777480"/>
        <c:crosses val="autoZero"/>
        <c:crossBetween val="between"/>
      </c:valAx>
      <c:spPr>
        <a:noFill/>
        <a:ln>
          <a:noFill/>
        </a:ln>
        <a:effectLst/>
      </c:spPr>
    </c:plotArea>
    <c:plotVisOnly val="1"/>
    <c:dispBlanksAs val="gap"/>
    <c:showDLblsOverMax val="0"/>
    <c:extLst>
      <c:ext uri="{0b15fc19-7d7d-44ad-8c2d-2c3a37ce22c3}">
        <chartProps xmlns="https://web.wps.cn/et/2018/main" chartId="{fe695d8b-4a86-4347-bf5c-031bc98fcf4d}"/>
      </c:ext>
    </c:extLst>
  </c:chart>
  <c:spPr>
    <a:solidFill>
      <a:srgbClr val="FFFFFF"/>
    </a:solidFill>
    <a:ln w="9525" cap="flat" cmpd="sng" algn="ctr">
      <a:solidFill>
        <a:srgbClr val="D9D9D9">
          <a:lumMod val="15000"/>
          <a:lumOff val="85000"/>
        </a:srgbClr>
      </a:solidFill>
      <a:round/>
    </a:ln>
    <a:effectLst/>
  </c:spPr>
  <c:txPr>
    <a:bodyPr/>
    <a:lstStyle/>
    <a:p>
      <a:pPr>
        <a:defRPr lang="zh-CN" sz="16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baseline="0">
                <a:solidFill>
                  <a:srgbClr val="595959">
                    <a:lumMod val="65000"/>
                    <a:lumOff val="35000"/>
                  </a:srgbClr>
                </a:solidFill>
                <a:latin typeface="+mn-lt"/>
                <a:ea typeface="+mn-ea"/>
                <a:cs typeface="+mn-cs"/>
              </a:defRPr>
            </a:pPr>
            <a:r>
              <a:rPr lang="en-US" altLang="zh-CN" sz="1600" b="1"/>
              <a:t>2019-2021</a:t>
            </a:r>
            <a:r>
              <a:rPr altLang="en-US" sz="1600" b="1"/>
              <a:t>年不捕不诉人数</a:t>
            </a:r>
            <a:endParaRPr altLang="en-US" sz="1600" b="1"/>
          </a:p>
        </c:rich>
      </c:tx>
      <c:layout>
        <c:manualLayout>
          <c:xMode val="edge"/>
          <c:yMode val="edge"/>
          <c:x val="0.230650584795322"/>
          <c:y val="0.0411530903894248"/>
        </c:manualLayout>
      </c:layout>
      <c:overlay val="0"/>
      <c:spPr>
        <a:noFill/>
        <a:ln>
          <a:noFill/>
        </a:ln>
        <a:effectLst/>
      </c:spPr>
    </c:title>
    <c:autoTitleDeleted val="0"/>
    <c:plotArea>
      <c:layout>
        <c:manualLayout>
          <c:layoutTarget val="inner"/>
          <c:xMode val="edge"/>
          <c:yMode val="edge"/>
          <c:x val="0.0287719298245614"/>
          <c:y val="0.220150053590568"/>
          <c:w val="0.938245614035088"/>
          <c:h val="0.550396570203644"/>
        </c:manualLayout>
      </c:layout>
      <c:barChart>
        <c:barDir val="col"/>
        <c:grouping val="clustered"/>
        <c:varyColors val="0"/>
        <c:ser>
          <c:idx val="0"/>
          <c:order val="0"/>
          <c:tx>
            <c:strRef>
              <c:f>[工作簿1]Sheet1!$B$2</c:f>
              <c:strCache>
                <c:ptCount val="1"/>
                <c:pt idx="0">
                  <c:v>不捕人数</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400" b="1"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trendline>
            <c:spPr>
              <a:ln w="19050" cap="rnd">
                <a:solidFill>
                  <a:srgbClr val="4F81BD"/>
                </a:solidFill>
                <a:prstDash val="sysDot"/>
              </a:ln>
              <a:effectLst/>
            </c:spPr>
            <c:trendlineType val="linear"/>
            <c:dispRSqr val="0"/>
            <c:dispEq val="0"/>
          </c:trendline>
          <c:cat>
            <c:strRef>
              <c:f>[工作簿1]Sheet1!$A$3:$A$5</c:f>
              <c:strCache>
                <c:ptCount val="3"/>
                <c:pt idx="0">
                  <c:v>2019年</c:v>
                </c:pt>
                <c:pt idx="1">
                  <c:v>2020年</c:v>
                </c:pt>
                <c:pt idx="2">
                  <c:v>2021年</c:v>
                </c:pt>
              </c:strCache>
            </c:strRef>
          </c:cat>
          <c:val>
            <c:numRef>
              <c:f>[工作簿1]Sheet1!$B$3:$B$5</c:f>
              <c:numCache>
                <c:formatCode>General</c:formatCode>
                <c:ptCount val="3"/>
                <c:pt idx="0">
                  <c:v>82</c:v>
                </c:pt>
                <c:pt idx="1">
                  <c:v>106</c:v>
                </c:pt>
                <c:pt idx="2">
                  <c:v>133</c:v>
                </c:pt>
              </c:numCache>
            </c:numRef>
          </c:val>
        </c:ser>
        <c:ser>
          <c:idx val="1"/>
          <c:order val="1"/>
          <c:tx>
            <c:strRef>
              <c:f>[工作簿1]Sheet1!$C$2</c:f>
              <c:strCache>
                <c:ptCount val="1"/>
                <c:pt idx="0">
                  <c:v>不起诉人数</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600" b="1"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trendline>
            <c:spPr>
              <a:ln w="19050" cap="rnd">
                <a:solidFill>
                  <a:srgbClr val="C0504D"/>
                </a:solidFill>
                <a:prstDash val="sysDot"/>
              </a:ln>
              <a:effectLst/>
            </c:spPr>
            <c:trendlineType val="linear"/>
            <c:dispRSqr val="0"/>
            <c:dispEq val="0"/>
          </c:trendline>
          <c:cat>
            <c:strRef>
              <c:f>[工作簿1]Sheet1!$A$3:$A$5</c:f>
              <c:strCache>
                <c:ptCount val="3"/>
                <c:pt idx="0">
                  <c:v>2019年</c:v>
                </c:pt>
                <c:pt idx="1">
                  <c:v>2020年</c:v>
                </c:pt>
                <c:pt idx="2">
                  <c:v>2021年</c:v>
                </c:pt>
              </c:strCache>
            </c:strRef>
          </c:cat>
          <c:val>
            <c:numRef>
              <c:f>[工作簿1]Sheet1!$C$3:$C$5</c:f>
              <c:numCache>
                <c:formatCode>General</c:formatCode>
                <c:ptCount val="3"/>
                <c:pt idx="0">
                  <c:v>31</c:v>
                </c:pt>
                <c:pt idx="1">
                  <c:v>44</c:v>
                </c:pt>
                <c:pt idx="2">
                  <c:v>53</c:v>
                </c:pt>
              </c:numCache>
            </c:numRef>
          </c:val>
        </c:ser>
        <c:dLbls>
          <c:showLegendKey val="0"/>
          <c:showVal val="1"/>
          <c:showCatName val="0"/>
          <c:showSerName val="0"/>
          <c:showPercent val="0"/>
          <c:showBubbleSize val="0"/>
        </c:dLbls>
        <c:gapWidth val="219"/>
        <c:overlap val="-27"/>
        <c:axId val="70764706"/>
        <c:axId val="782129321"/>
      </c:barChart>
      <c:catAx>
        <c:axId val="7076470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1400" b="1" i="0" u="none" strike="noStrike" kern="1200" baseline="0">
                <a:solidFill>
                  <a:srgbClr val="595959">
                    <a:lumMod val="65000"/>
                    <a:lumOff val="35000"/>
                  </a:srgbClr>
                </a:solidFill>
                <a:latin typeface="+mn-lt"/>
                <a:ea typeface="+mn-ea"/>
                <a:cs typeface="+mn-cs"/>
              </a:defRPr>
            </a:pPr>
          </a:p>
        </c:txPr>
        <c:crossAx val="782129321"/>
        <c:crosses val="autoZero"/>
        <c:auto val="1"/>
        <c:lblAlgn val="ctr"/>
        <c:lblOffset val="100"/>
        <c:noMultiLvlLbl val="0"/>
      </c:catAx>
      <c:valAx>
        <c:axId val="78212932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600" b="1" i="0" u="none" strike="noStrike" kern="1200" baseline="0">
                <a:solidFill>
                  <a:srgbClr val="595959">
                    <a:lumMod val="65000"/>
                    <a:lumOff val="35000"/>
                  </a:srgbClr>
                </a:solidFill>
                <a:latin typeface="+mn-lt"/>
                <a:ea typeface="+mn-ea"/>
                <a:cs typeface="+mn-cs"/>
              </a:defRPr>
            </a:pPr>
          </a:p>
        </c:txPr>
        <c:crossAx val="7076470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400" b="1" i="0" u="none" strike="noStrike" kern="1200" baseline="0">
                <a:solidFill>
                  <a:srgbClr val="595959">
                    <a:lumMod val="65000"/>
                    <a:lumOff val="35000"/>
                  </a:srgbClr>
                </a:solidFill>
                <a:latin typeface="+mn-lt"/>
                <a:ea typeface="+mn-ea"/>
                <a:cs typeface="+mn-cs"/>
              </a:defRPr>
            </a:pPr>
          </a:p>
        </c:txPr>
      </c:legendEntry>
      <c:legendEntry>
        <c:idx val="1"/>
        <c:txPr>
          <a:bodyPr rot="0" spcFirstLastPara="0" vertOverflow="ellipsis" vert="horz" wrap="square" anchor="ctr" anchorCtr="1"/>
          <a:lstStyle/>
          <a:p>
            <a:pPr>
              <a:defRPr lang="zh-CN" sz="1400" b="1" i="0" u="none" strike="noStrike" kern="1200" baseline="0">
                <a:solidFill>
                  <a:srgbClr val="595959">
                    <a:lumMod val="65000"/>
                    <a:lumOff val="35000"/>
                  </a:srgbClr>
                </a:solidFill>
                <a:latin typeface="+mn-lt"/>
                <a:ea typeface="+mn-ea"/>
                <a:cs typeface="+mn-cs"/>
              </a:defRPr>
            </a:pPr>
          </a:p>
        </c:txPr>
      </c:legendEntry>
      <c:legendEntry>
        <c:idx val="2"/>
        <c:delete val="1"/>
      </c:legendEntry>
      <c:legendEntry>
        <c:idx val="3"/>
        <c:delete val="1"/>
      </c:legendEntry>
      <c:layout>
        <c:manualLayout>
          <c:xMode val="edge"/>
          <c:yMode val="edge"/>
          <c:x val="0.223157894736842"/>
          <c:y val="0.866452304394427"/>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b278988e-6b32-4028-9f34-5f16cc877fa6}"/>
      </c:ext>
    </c:extLst>
  </c:chart>
  <c:spPr>
    <a:solidFill>
      <a:srgbClr val="FFFFFF"/>
    </a:solidFill>
    <a:ln w="9525" cap="flat" cmpd="sng" algn="ctr">
      <a:solidFill>
        <a:srgbClr val="D9D9D9">
          <a:lumMod val="15000"/>
          <a:lumOff val="85000"/>
        </a:srgbClr>
      </a:solidFill>
      <a:round/>
    </a:ln>
    <a:effectLst/>
  </c:spPr>
  <c:txPr>
    <a:bodyPr/>
    <a:lstStyle/>
    <a:p>
      <a:pPr>
        <a:defRPr lang="zh-CN" sz="1600" b="1"/>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spc="0" baseline="0">
                <a:solidFill>
                  <a:srgbClr val="595959">
                    <a:lumMod val="65000"/>
                    <a:lumOff val="35000"/>
                  </a:srgbClr>
                </a:solidFill>
                <a:latin typeface="+mn-lt"/>
                <a:ea typeface="+mn-ea"/>
                <a:cs typeface="+mn-cs"/>
              </a:defRPr>
            </a:pPr>
            <a:r>
              <a:rPr lang="en-US" altLang="zh-CN" sz="1800" b="1"/>
              <a:t>2019-2021</a:t>
            </a:r>
            <a:r>
              <a:rPr altLang="en-US" sz="1800" b="1"/>
              <a:t>年刑事案件认罪认罚适用率</a:t>
            </a:r>
            <a:endParaRPr altLang="en-US" sz="1800" b="1"/>
          </a:p>
        </c:rich>
      </c:tx>
      <c:layout>
        <c:manualLayout>
          <c:xMode val="edge"/>
          <c:yMode val="edge"/>
          <c:x val="0.107552083333333"/>
          <c:y val="0.0258955545964609"/>
        </c:manualLayout>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600" b="1"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trendline>
            <c:spPr>
              <a:ln w="19050" cap="rnd">
                <a:solidFill>
                  <a:srgbClr val="4F81BD"/>
                </a:solidFill>
                <a:prstDash val="sysDot"/>
              </a:ln>
              <a:effectLst/>
            </c:spPr>
            <c:trendlineType val="linear"/>
            <c:dispRSqr val="0"/>
            <c:dispEq val="0"/>
          </c:trendline>
          <c:val>
            <c:numRef>
              <c:f>[工作簿6.xlsx]Sheet3!$B$2:$B$4</c:f>
              <c:numCache>
                <c:formatCode>0.00%</c:formatCode>
                <c:ptCount val="3"/>
                <c:pt idx="0">
                  <c:v>0.4751</c:v>
                </c:pt>
                <c:pt idx="1">
                  <c:v>0.8363</c:v>
                </c:pt>
                <c:pt idx="2">
                  <c:v>0.9084</c:v>
                </c:pt>
              </c:numCache>
            </c:numRef>
          </c:val>
        </c:ser>
        <c:dLbls>
          <c:showLegendKey val="0"/>
          <c:showVal val="1"/>
          <c:showCatName val="0"/>
          <c:showSerName val="0"/>
          <c:showPercent val="0"/>
          <c:showBubbleSize val="0"/>
        </c:dLbls>
        <c:gapWidth val="219"/>
        <c:overlap val="-27"/>
        <c:axId val="869998728"/>
        <c:axId val="733889958"/>
      </c:barChart>
      <c:catAx>
        <c:axId val="869998728"/>
        <c:scaling>
          <c:orientation val="minMax"/>
        </c:scaling>
        <c:delete val="1"/>
        <c:axPos val="b"/>
        <c:title>
          <c:tx>
            <c:rich>
              <a:bodyPr rot="0" spcFirstLastPara="0" vertOverflow="ellipsis" vert="horz" wrap="square" anchor="ctr" anchorCtr="1"/>
              <a:lstStyle/>
              <a:p>
                <a:pPr defTabSz="914400">
                  <a:defRPr lang="zh-CN" sz="1000" b="1" i="0" u="none" strike="noStrike" kern="1200" baseline="0">
                    <a:solidFill>
                      <a:srgbClr val="595959">
                        <a:lumMod val="65000"/>
                        <a:lumOff val="35000"/>
                      </a:srgbClr>
                    </a:solidFill>
                    <a:latin typeface="+mn-lt"/>
                    <a:ea typeface="+mn-ea"/>
                    <a:cs typeface="+mn-cs"/>
                  </a:defRPr>
                </a:pPr>
                <a:r>
                  <a:rPr lang="en-US" altLang="zh-CN" sz="1600" b="1"/>
                  <a:t>2019</a:t>
                </a:r>
                <a:r>
                  <a:rPr altLang="en-US" sz="1600" b="1"/>
                  <a:t>年                </a:t>
                </a:r>
                <a:r>
                  <a:rPr lang="en-US" altLang="zh-CN" sz="1600" b="1"/>
                  <a:t>2020</a:t>
                </a:r>
                <a:r>
                  <a:rPr altLang="en-US" sz="1600" b="1"/>
                  <a:t>年                  </a:t>
                </a:r>
                <a:r>
                  <a:rPr lang="en-US" altLang="zh-CN" sz="1600" b="1"/>
                  <a:t>2021</a:t>
                </a:r>
                <a:r>
                  <a:rPr altLang="en-US" sz="1600" b="1"/>
                  <a:t>年</a:t>
                </a:r>
                <a:endParaRPr altLang="en-US" sz="1600" b="1"/>
              </a:p>
            </c:rich>
          </c:tx>
          <c:layout/>
          <c:overlay val="0"/>
          <c:spPr>
            <a:noFill/>
            <a:ln>
              <a:noFill/>
            </a:ln>
            <a:effectLst/>
          </c:spPr>
        </c:title>
        <c:majorTickMark val="none"/>
        <c:minorTickMark val="none"/>
        <c:tickLblPos val="nextTo"/>
        <c:txPr>
          <a:bodyPr rot="-60000000" spcFirstLastPara="0" vertOverflow="ellipsis" vert="horz" wrap="square" anchor="ctr" anchorCtr="1"/>
          <a:lstStyle/>
          <a:p>
            <a:pPr>
              <a:defRPr lang="zh-CN" sz="900" b="1" i="0" u="none" strike="noStrike" kern="1200" baseline="0">
                <a:solidFill>
                  <a:srgbClr val="595959">
                    <a:lumMod val="65000"/>
                    <a:lumOff val="35000"/>
                  </a:srgbClr>
                </a:solidFill>
                <a:latin typeface="+mn-lt"/>
                <a:ea typeface="+mn-ea"/>
                <a:cs typeface="+mn-cs"/>
              </a:defRPr>
            </a:pPr>
          </a:p>
        </c:txPr>
        <c:crossAx val="733889958"/>
        <c:crosses val="autoZero"/>
        <c:auto val="1"/>
        <c:lblAlgn val="ctr"/>
        <c:lblOffset val="100"/>
        <c:noMultiLvlLbl val="0"/>
      </c:catAx>
      <c:valAx>
        <c:axId val="733889958"/>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1" i="0" u="none" strike="noStrike" kern="1200" baseline="0">
                <a:solidFill>
                  <a:srgbClr val="595959">
                    <a:lumMod val="65000"/>
                    <a:lumOff val="35000"/>
                  </a:srgbClr>
                </a:solidFill>
                <a:latin typeface="+mn-lt"/>
                <a:ea typeface="+mn-ea"/>
                <a:cs typeface="+mn-cs"/>
              </a:defRPr>
            </a:pPr>
          </a:p>
        </c:txPr>
        <c:crossAx val="869998728"/>
        <c:crosses val="autoZero"/>
        <c:crossBetween val="between"/>
      </c:valAx>
      <c:spPr>
        <a:noFill/>
        <a:ln>
          <a:noFill/>
        </a:ln>
        <a:effectLst/>
      </c:spPr>
    </c:plotArea>
    <c:plotVisOnly val="1"/>
    <c:dispBlanksAs val="gap"/>
    <c:showDLblsOverMax val="0"/>
    <c:extLst>
      <c:ext uri="{0b15fc19-7d7d-44ad-8c2d-2c3a37ce22c3}">
        <chartProps xmlns="https://web.wps.cn/et/2018/main" chartId="{5ef85a25-74ad-4a68-bcad-8cbc73f52176}"/>
      </c:ext>
    </c:extLst>
  </c:chart>
  <c:spPr>
    <a:solidFill>
      <a:srgbClr val="FFFFFF"/>
    </a:solidFill>
    <a:ln w="9525" cap="flat" cmpd="sng" algn="ctr">
      <a:solidFill>
        <a:srgbClr val="D9D9D9">
          <a:lumMod val="15000"/>
          <a:lumOff val="85000"/>
        </a:srgbClr>
      </a:solidFill>
      <a:round/>
    </a:ln>
    <a:effectLst/>
  </c:spPr>
  <c:txPr>
    <a:bodyPr/>
    <a:lstStyle/>
    <a:p>
      <a:pPr>
        <a:defRPr lang="zh-CN"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8118</Words>
  <Characters>8358</Characters>
  <Lines>0</Lines>
  <Paragraphs>0</Paragraphs>
  <TotalTime>3</TotalTime>
  <ScaleCrop>false</ScaleCrop>
  <LinksUpToDate>false</LinksUpToDate>
  <CharactersWithSpaces>8378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2025-02-26T08:04:00Z</dcterms:created>
  <dc:creator>WPS_1699350100</dc:creator>
  <cp:lastModifiedBy>清汤不加汤</cp:lastModifiedBy>
  <dcterms:modified xsi:type="dcterms:W3CDTF">2025-04-09T08:22:54Z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F5426BA42F5F41B584FFCBA15F0FE0C4_11</vt:lpwstr>
  </property>
  <property fmtid="{D5CDD505-2E9C-101B-9397-08002B2CF9AE}" pid="4" name="KSOTemplateDocerSaveRecord">
    <vt:lpwstr>eyJoZGlkIjoiNWQwNDc5NDkyNDQ3M2Q3YzYxNTczZDM0NmNlZWJlY2QiLCJ1c2VySWQiOiI2MjY0NTM4NzMifQ==</vt:lpwstr>
  </property>
</Properties>
</file>