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E068B">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b/>
          <w:szCs w:val="32"/>
        </w:rPr>
      </w:pPr>
      <w:r>
        <w:rPr>
          <w:rFonts w:hint="eastAsia" w:ascii="楷体" w:hAnsi="楷体" w:eastAsia="楷体" w:cs="楷体"/>
          <w:b/>
          <w:szCs w:val="32"/>
        </w:rPr>
        <w:t>县十八届人大</w:t>
      </w:r>
      <w:r>
        <w:rPr>
          <w:rFonts w:hint="eastAsia" w:ascii="楷体" w:hAnsi="楷体" w:eastAsia="楷体" w:cs="楷体"/>
          <w:b/>
          <w:szCs w:val="32"/>
          <w:lang w:eastAsia="zh-CN"/>
        </w:rPr>
        <w:t>四</w:t>
      </w:r>
      <w:r>
        <w:rPr>
          <w:rFonts w:hint="eastAsia" w:ascii="楷体" w:hAnsi="楷体" w:eastAsia="楷体" w:cs="楷体"/>
          <w:b/>
          <w:szCs w:val="32"/>
        </w:rPr>
        <w:t>次</w:t>
      </w:r>
    </w:p>
    <w:p w14:paraId="525590F0">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b/>
          <w:spacing w:val="-10"/>
          <w:szCs w:val="32"/>
        </w:rPr>
      </w:pPr>
      <w:r>
        <w:rPr>
          <w:rFonts w:hint="eastAsia" w:ascii="楷体" w:hAnsi="楷体" w:eastAsia="楷体" w:cs="楷体"/>
          <w:b/>
          <w:spacing w:val="-10"/>
          <w:szCs w:val="32"/>
        </w:rPr>
        <w:t>会议文件( 二十</w:t>
      </w:r>
      <w:r>
        <w:rPr>
          <w:rFonts w:hint="eastAsia" w:ascii="楷体" w:hAnsi="楷体" w:eastAsia="楷体" w:cs="楷体"/>
          <w:b/>
          <w:spacing w:val="-10"/>
          <w:szCs w:val="32"/>
          <w:lang w:val="en-US" w:eastAsia="zh-CN"/>
        </w:rPr>
        <w:t>三</w:t>
      </w:r>
      <w:r>
        <w:rPr>
          <w:rFonts w:hint="eastAsia" w:ascii="楷体" w:hAnsi="楷体" w:eastAsia="楷体" w:cs="楷体"/>
          <w:b/>
          <w:spacing w:val="-10"/>
          <w:szCs w:val="32"/>
        </w:rPr>
        <w:t xml:space="preserve"> )</w:t>
      </w:r>
    </w:p>
    <w:p w14:paraId="737F23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宋体" w:eastAsia="方正小标宋简体" w:cs="宋体"/>
          <w:bCs/>
          <w:kern w:val="0"/>
          <w:sz w:val="30"/>
          <w:szCs w:val="30"/>
        </w:rPr>
      </w:pPr>
    </w:p>
    <w:p w14:paraId="5D3C96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kern w:val="0"/>
          <w:sz w:val="44"/>
          <w:szCs w:val="44"/>
        </w:rPr>
      </w:pPr>
      <w:bookmarkStart w:id="0" w:name="_GoBack"/>
      <w:r>
        <w:rPr>
          <w:rFonts w:hint="eastAsia" w:ascii="方正小标宋简体" w:hAnsi="宋体" w:eastAsia="方正小标宋简体" w:cs="宋体"/>
          <w:bCs/>
          <w:kern w:val="0"/>
          <w:sz w:val="44"/>
          <w:szCs w:val="44"/>
        </w:rPr>
        <w:t>新干县人民检察院工作报告</w:t>
      </w:r>
      <w:bookmarkEnd w:id="0"/>
    </w:p>
    <w:p w14:paraId="42AB70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宋体" w:eastAsia="方正小标宋简体" w:cs="宋体"/>
          <w:bCs/>
          <w:kern w:val="0"/>
          <w:sz w:val="30"/>
          <w:szCs w:val="30"/>
        </w:rPr>
      </w:pPr>
    </w:p>
    <w:p w14:paraId="72A34B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pacing w:val="-8"/>
          <w:sz w:val="32"/>
          <w:szCs w:val="32"/>
        </w:rPr>
      </w:pPr>
      <w:r>
        <w:rPr>
          <w:rFonts w:hint="eastAsia" w:ascii="楷体" w:hAnsi="楷体" w:eastAsia="楷体" w:cs="楷体"/>
          <w:spacing w:val="-8"/>
          <w:sz w:val="32"/>
          <w:szCs w:val="32"/>
        </w:rPr>
        <w:t>——</w:t>
      </w:r>
      <w:r>
        <w:rPr>
          <w:rFonts w:hint="eastAsia" w:ascii="楷体" w:hAnsi="楷体" w:eastAsia="楷体" w:cs="楷体"/>
          <w:sz w:val="32"/>
          <w:szCs w:val="32"/>
        </w:rPr>
        <w:t>202</w:t>
      </w:r>
      <w:r>
        <w:rPr>
          <w:rFonts w:hint="eastAsia" w:ascii="楷体" w:hAnsi="楷体" w:eastAsia="楷体" w:cs="楷体"/>
          <w:sz w:val="32"/>
          <w:szCs w:val="32"/>
          <w:lang w:val="en-US" w:eastAsia="zh-CN"/>
        </w:rPr>
        <w:t>4</w:t>
      </w:r>
      <w:r>
        <w:rPr>
          <w:rFonts w:hint="eastAsia" w:ascii="楷体" w:hAnsi="楷体" w:eastAsia="楷体" w:cs="楷体"/>
          <w:sz w:val="32"/>
          <w:szCs w:val="32"/>
        </w:rPr>
        <w:t>年2月</w:t>
      </w:r>
      <w:r>
        <w:rPr>
          <w:rFonts w:hint="eastAsia" w:ascii="楷体" w:hAnsi="楷体" w:eastAsia="楷体" w:cs="楷体"/>
          <w:sz w:val="32"/>
          <w:szCs w:val="32"/>
          <w:lang w:val="en-US" w:eastAsia="zh-CN"/>
        </w:rPr>
        <w:t>20</w:t>
      </w:r>
      <w:r>
        <w:rPr>
          <w:rFonts w:hint="eastAsia" w:ascii="楷体" w:hAnsi="楷体" w:eastAsia="楷体" w:cs="楷体"/>
          <w:sz w:val="32"/>
          <w:szCs w:val="32"/>
        </w:rPr>
        <w:t>日</w:t>
      </w:r>
      <w:r>
        <w:rPr>
          <w:rFonts w:hint="eastAsia" w:ascii="楷体" w:hAnsi="楷体" w:eastAsia="楷体" w:cs="楷体"/>
          <w:spacing w:val="-8"/>
          <w:sz w:val="32"/>
          <w:szCs w:val="32"/>
        </w:rPr>
        <w:t>在新干县第十八届</w:t>
      </w:r>
    </w:p>
    <w:p w14:paraId="0CF5E6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Cs/>
          <w:kern w:val="0"/>
          <w:sz w:val="32"/>
          <w:szCs w:val="32"/>
        </w:rPr>
      </w:pPr>
      <w:r>
        <w:rPr>
          <w:rFonts w:hint="eastAsia" w:ascii="楷体" w:hAnsi="楷体" w:eastAsia="楷体" w:cs="楷体"/>
          <w:spacing w:val="-8"/>
          <w:sz w:val="32"/>
          <w:szCs w:val="32"/>
        </w:rPr>
        <w:t>人民代表大</w:t>
      </w:r>
      <w:r>
        <w:rPr>
          <w:rFonts w:hint="eastAsia" w:ascii="楷体" w:hAnsi="楷体" w:eastAsia="楷体" w:cs="楷体"/>
          <w:sz w:val="32"/>
          <w:szCs w:val="32"/>
        </w:rPr>
        <w:t>会第</w:t>
      </w:r>
      <w:r>
        <w:rPr>
          <w:rFonts w:hint="eastAsia" w:ascii="楷体" w:hAnsi="楷体" w:eastAsia="楷体" w:cs="楷体"/>
          <w:sz w:val="32"/>
          <w:szCs w:val="32"/>
          <w:lang w:eastAsia="zh-CN"/>
        </w:rPr>
        <w:t>四</w:t>
      </w:r>
      <w:r>
        <w:rPr>
          <w:rFonts w:hint="eastAsia" w:ascii="楷体" w:hAnsi="楷体" w:eastAsia="楷体" w:cs="楷体"/>
          <w:sz w:val="32"/>
          <w:szCs w:val="32"/>
        </w:rPr>
        <w:t>次会议上</w:t>
      </w:r>
    </w:p>
    <w:p w14:paraId="748172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宋体" w:eastAsia="方正小标宋简体" w:cs="宋体"/>
          <w:bCs/>
          <w:kern w:val="0"/>
          <w:sz w:val="30"/>
          <w:szCs w:val="30"/>
        </w:rPr>
      </w:pPr>
    </w:p>
    <w:p w14:paraId="0B5FEDD4">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kern w:val="0"/>
          <w:szCs w:val="32"/>
        </w:rPr>
      </w:pPr>
      <w:r>
        <w:rPr>
          <w:rFonts w:hint="eastAsia" w:ascii="楷体" w:hAnsi="楷体" w:eastAsia="楷体" w:cs="楷体"/>
          <w:kern w:val="0"/>
          <w:szCs w:val="32"/>
        </w:rPr>
        <w:t>县人民检察院检察长   王义正</w:t>
      </w:r>
    </w:p>
    <w:p w14:paraId="09C9DAC8">
      <w:pPr>
        <w:pStyle w:val="6"/>
        <w:keepNext w:val="0"/>
        <w:keepLines w:val="0"/>
        <w:pageBreakBefore w:val="0"/>
        <w:widowControl w:val="0"/>
        <w:kinsoku/>
        <w:wordWrap/>
        <w:overflowPunct/>
        <w:topLinePunct w:val="0"/>
        <w:autoSpaceDE/>
        <w:autoSpaceDN/>
        <w:bidi w:val="0"/>
        <w:adjustRightInd/>
        <w:snapToGrid/>
        <w:spacing w:line="560" w:lineRule="exact"/>
        <w:ind w:firstLine="210"/>
        <w:textAlignment w:val="auto"/>
        <w:rPr>
          <w:rFonts w:hint="eastAsia"/>
        </w:rPr>
      </w:pPr>
    </w:p>
    <w:p w14:paraId="656309B7">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各位代表：</w:t>
      </w:r>
    </w:p>
    <w:p w14:paraId="07159E9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sz w:val="32"/>
          <w:szCs w:val="32"/>
        </w:rPr>
      </w:pPr>
      <w:r>
        <w:rPr>
          <w:rFonts w:hint="eastAsia" w:ascii="仿宋_GB2312" w:hAnsi="仿宋_GB2312" w:eastAsia="仿宋_GB2312" w:cs="仿宋_GB2312"/>
          <w:color w:val="000000"/>
          <w:sz w:val="32"/>
          <w:szCs w:val="32"/>
          <w:shd w:val="clear" w:color="auto" w:fill="FFFFFF"/>
        </w:rPr>
        <w:t>现在,我代表县人民检察院向大会报告工作，请予审议，并请列席会议的同志提出意见。</w:t>
      </w:r>
    </w:p>
    <w:p w14:paraId="3FC7441A">
      <w:pPr>
        <w:keepNext w:val="0"/>
        <w:keepLines w:val="0"/>
        <w:pageBreakBefore w:val="0"/>
        <w:widowControl w:val="0"/>
        <w:kinsoku/>
        <w:wordWrap/>
        <w:overflowPunct/>
        <w:bidi w:val="0"/>
        <w:spacing w:line="560" w:lineRule="exact"/>
        <w:jc w:val="center"/>
        <w:textAlignment w:val="auto"/>
        <w:rPr>
          <w:rFonts w:hint="eastAsia" w:ascii="仿宋_GB2312" w:eastAsia="仿宋_GB2312"/>
          <w:sz w:val="32"/>
          <w:szCs w:val="32"/>
        </w:rPr>
      </w:pPr>
      <w:r>
        <w:rPr>
          <w:rFonts w:hint="eastAsia" w:ascii="黑体" w:eastAsia="黑体"/>
          <w:color w:val="000000"/>
          <w:sz w:val="32"/>
          <w:szCs w:val="32"/>
        </w:rPr>
        <w:t>202</w:t>
      </w:r>
      <w:r>
        <w:rPr>
          <w:rFonts w:hint="eastAsia" w:ascii="黑体" w:eastAsia="黑体"/>
          <w:color w:val="000000"/>
          <w:sz w:val="32"/>
          <w:szCs w:val="32"/>
          <w:lang w:val="en-US" w:eastAsia="zh-CN"/>
        </w:rPr>
        <w:t>3</w:t>
      </w:r>
      <w:r>
        <w:rPr>
          <w:rFonts w:hint="eastAsia" w:ascii="黑体" w:eastAsia="黑体"/>
          <w:color w:val="000000"/>
          <w:sz w:val="32"/>
          <w:szCs w:val="32"/>
        </w:rPr>
        <w:t>年工作回顾</w:t>
      </w:r>
    </w:p>
    <w:p w14:paraId="399D45F4">
      <w:pPr>
        <w:keepNext w:val="0"/>
        <w:keepLines w:val="0"/>
        <w:pageBreakBefore w:val="0"/>
        <w:widowControl w:val="0"/>
        <w:kinsoku/>
        <w:wordWrap/>
        <w:overflowPunct/>
        <w:autoSpaceDE w:val="0"/>
        <w:autoSpaceDN w:val="0"/>
        <w:bidi w:val="0"/>
        <w:adjustRightInd w:val="0"/>
        <w:spacing w:line="560" w:lineRule="exact"/>
        <w:ind w:firstLine="640" w:firstLineChars="200"/>
        <w:textAlignment w:val="auto"/>
        <w:rPr>
          <w:rFonts w:hint="eastAsia" w:ascii="楷体_GB2312" w:eastAsia="楷体_GB2312"/>
          <w:color w:val="000000"/>
          <w:sz w:val="32"/>
          <w:szCs w:val="32"/>
        </w:rPr>
      </w:pPr>
      <w:r>
        <w:rPr>
          <w:rFonts w:hint="eastAsia" w:ascii="仿宋_GB2312" w:hAnsi="仿宋_GB2312" w:eastAsia="仿宋_GB2312" w:cs="仿宋_GB2312"/>
          <w:color w:val="000000"/>
          <w:sz w:val="32"/>
          <w:szCs w:val="32"/>
          <w:shd w:val="clear" w:color="auto" w:fill="FFFFFF"/>
          <w:lang w:eastAsia="zh-CN"/>
        </w:rPr>
        <w:t>过去的一</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rPr>
        <w:t>在县委和市检察院的坚强领导下，在县人大及其常委会的有力监督下，在县政府、县政协及社会各界的关心支持下，我们以习近平新时代中国特色社会主义思想为指</w:t>
      </w:r>
      <w:r>
        <w:rPr>
          <w:rFonts w:hint="eastAsia" w:ascii="仿宋_GB2312" w:hAnsi="仿宋_GB2312" w:eastAsia="仿宋_GB2312" w:cs="仿宋_GB2312"/>
          <w:color w:val="000000"/>
          <w:sz w:val="32"/>
          <w:szCs w:val="32"/>
          <w:lang w:eastAsia="zh-CN"/>
        </w:rPr>
        <w:t>导</w:t>
      </w:r>
      <w:r>
        <w:rPr>
          <w:rFonts w:hint="eastAsia" w:ascii="仿宋_GB2312" w:hAnsi="仿宋_GB2312" w:eastAsia="仿宋_GB2312" w:cs="仿宋_GB2312"/>
          <w:color w:val="000000"/>
          <w:sz w:val="32"/>
          <w:szCs w:val="32"/>
        </w:rPr>
        <w:t>，深入贯彻习近平法治思想，紧扣全县经济社会发展大局和“走在前、勇争先、善作为”目标要求，突出政治引领，聚焦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四大检察”，</w:t>
      </w:r>
      <w:r>
        <w:rPr>
          <w:rFonts w:hint="eastAsia" w:ascii="仿宋_GB2312" w:hAnsi="仿宋_GB2312" w:eastAsia="仿宋_GB2312" w:cs="仿宋_GB2312"/>
          <w:color w:val="000000"/>
          <w:sz w:val="32"/>
          <w:szCs w:val="32"/>
          <w:lang w:eastAsia="zh-CN"/>
        </w:rPr>
        <w:t>忠诚履职，各项检察工作在稳步推进中迈上新台阶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各有</w:t>
      </w:r>
      <w:r>
        <w:rPr>
          <w:rFonts w:hint="eastAsia" w:ascii="仿宋_GB2312" w:hAnsi="仿宋_GB2312" w:eastAsia="仿宋_GB2312" w:cs="仿宋_GB2312"/>
          <w:b w:val="0"/>
          <w:bCs w:val="0"/>
          <w:color w:val="000000"/>
          <w:sz w:val="32"/>
          <w:szCs w:val="32"/>
        </w:rPr>
        <w:t>1名干警</w:t>
      </w:r>
      <w:r>
        <w:rPr>
          <w:rFonts w:hint="eastAsia" w:ascii="仿宋_GB2312" w:hAnsi="仿宋_GB2312" w:eastAsia="仿宋_GB2312" w:cs="仿宋_GB2312"/>
          <w:b w:val="0"/>
          <w:bCs w:val="0"/>
          <w:color w:val="000000"/>
          <w:sz w:val="32"/>
          <w:szCs w:val="32"/>
          <w:lang w:val="en-US" w:eastAsia="zh-CN"/>
        </w:rPr>
        <w:t>分别</w:t>
      </w:r>
      <w:r>
        <w:rPr>
          <w:rFonts w:hint="eastAsia" w:ascii="仿宋_GB2312" w:hAnsi="仿宋_GB2312" w:eastAsia="仿宋_GB2312" w:cs="仿宋_GB2312"/>
          <w:b w:val="0"/>
          <w:bCs w:val="0"/>
          <w:color w:val="000000"/>
          <w:sz w:val="32"/>
          <w:szCs w:val="32"/>
        </w:rPr>
        <w:t>获得国家级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省级表彰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第一检察部</w:t>
      </w:r>
      <w:r>
        <w:rPr>
          <w:rFonts w:hint="eastAsia" w:ascii="仿宋_GB2312" w:hAnsi="仿宋_GB2312" w:eastAsia="仿宋_GB2312" w:cs="仿宋_GB2312"/>
          <w:b w:val="0"/>
          <w:bCs w:val="0"/>
          <w:color w:val="000000"/>
          <w:sz w:val="32"/>
          <w:szCs w:val="32"/>
          <w:lang w:eastAsia="zh-CN"/>
        </w:rPr>
        <w:t>获得</w:t>
      </w:r>
      <w:r>
        <w:rPr>
          <w:rFonts w:hint="eastAsia" w:ascii="仿宋_GB2312" w:hAnsi="仿宋_GB2312" w:eastAsia="仿宋_GB2312" w:cs="仿宋_GB2312"/>
          <w:b w:val="0"/>
          <w:bCs w:val="0"/>
          <w:color w:val="000000"/>
          <w:sz w:val="32"/>
          <w:szCs w:val="32"/>
        </w:rPr>
        <w:t>“全省检察机关先进集体”荣誉称号，院党支部被评为县直机关“先进基层党组织”</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申报的理论研究课题首次获得省检察院课题立项。</w:t>
      </w:r>
    </w:p>
    <w:p w14:paraId="4CABA8F4">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一、以党的创新理论凝心铸魂</w:t>
      </w:r>
    </w:p>
    <w:p w14:paraId="1BC4B051">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highlight w:val="none"/>
          <w:lang w:val="en-US" w:eastAsia="zh-CN"/>
        </w:rPr>
        <w:t>始终坚持把政治建设放在首位</w:t>
      </w:r>
      <w:r>
        <w:rPr>
          <w:rFonts w:hint="eastAsia" w:ascii="黑体" w:hAnsi="黑体" w:eastAsia="黑体" w:cs="黑体"/>
          <w:sz w:val="32"/>
          <w:szCs w:val="32"/>
          <w:highlight w:val="none"/>
          <w:lang w:val="en-US" w:eastAsia="zh-CN"/>
        </w:rPr>
        <w:t>。</w:t>
      </w:r>
      <w:r>
        <w:rPr>
          <w:rFonts w:hint="eastAsia" w:ascii="仿宋_GB2312" w:hAnsi="仿宋_GB2312" w:eastAsia="仿宋_GB2312" w:cs="仿宋_GB2312"/>
          <w:sz w:val="32"/>
          <w:szCs w:val="32"/>
          <w:lang w:val="en-US" w:eastAsia="zh-CN"/>
        </w:rPr>
        <w:t>严格落实“第一议题”制度，及时跟进学习习近平总书记重要讲话和重要指示批示精神，扎实开展学习贯彻习近平新时代中国特色社会主义思想主题教育，组织全体检察干警参加全市检察机关政治轮训，深学细悟习近平新时代中国特色社会主义思想和习近平法治思想，在感悟思想伟力中牢记初心使命，坚决拥护“两个确立”、做到“两个维护”，始终把“从政治上看”贯穿检察履职全过程、各方面。</w:t>
      </w:r>
    </w:p>
    <w:p w14:paraId="736EA0BB">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pacing w:val="0"/>
          <w:sz w:val="32"/>
          <w:szCs w:val="32"/>
          <w:lang w:val="en-US" w:eastAsia="zh-CN"/>
        </w:rPr>
        <w:t>自觉维护和捍卫党的绝对领导</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sz w:val="32"/>
          <w:szCs w:val="32"/>
          <w:lang w:val="en-US" w:eastAsia="zh-CN"/>
        </w:rPr>
        <w:t>坚持一切工作“从政治上看”，严格落实《中国共产党政法工作条例》和重大事项请示报告制度，主动向市检察院和县委、政法委报告重大事项共20件次，向县四套班子主要领导专报未成年人检察、</w:t>
      </w:r>
      <w:r>
        <w:rPr>
          <w:rFonts w:hint="eastAsia" w:ascii="仿宋_GB2312" w:hAnsi="仿宋_GB2312" w:eastAsia="仿宋_GB2312" w:cs="仿宋_GB2312"/>
          <w:spacing w:val="0"/>
          <w:sz w:val="32"/>
          <w:szCs w:val="32"/>
          <w:highlight w:val="none"/>
          <w:lang w:val="en-US" w:eastAsia="zh-CN"/>
        </w:rPr>
        <w:t>“一乡镇一检察官”</w:t>
      </w:r>
      <w:r>
        <w:rPr>
          <w:rFonts w:hint="default" w:ascii="Calibri" w:hAnsi="Calibri" w:eastAsia="仿宋_GB2312" w:cs="Calibri"/>
          <w:spacing w:val="0"/>
          <w:sz w:val="32"/>
          <w:szCs w:val="32"/>
          <w:highlight w:val="none"/>
          <w:vertAlign w:val="superscript"/>
          <w:lang w:val="en-US" w:eastAsia="zh-CN"/>
        </w:rPr>
        <w:t>①</w:t>
      </w:r>
      <w:r>
        <w:rPr>
          <w:rFonts w:hint="eastAsia" w:ascii="仿宋_GB2312" w:hAnsi="仿宋_GB2312" w:eastAsia="仿宋_GB2312" w:cs="仿宋_GB2312"/>
          <w:sz w:val="32"/>
          <w:szCs w:val="32"/>
          <w:lang w:val="en-US" w:eastAsia="zh-CN"/>
        </w:rPr>
        <w:t>等工作开展情况，获得批示肯定。严格落实意识形态责任制，严格执行“三同步”工作机制，加强网络舆情管理。从法治上着力，坚决贯彻落实党中央、省市县委决策部署和上级检察院工作要求，维护和保障党的全面领导在执法司法活动中得到全面落实。</w:t>
      </w:r>
    </w:p>
    <w:p w14:paraId="673337E6">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pacing w:val="0"/>
          <w:sz w:val="32"/>
          <w:szCs w:val="32"/>
          <w:lang w:val="en-US" w:eastAsia="zh-CN"/>
        </w:rPr>
        <w:t>提升党建引领的政治自觉</w:t>
      </w:r>
      <w:r>
        <w:rPr>
          <w:rFonts w:hint="eastAsia" w:ascii="楷体" w:hAnsi="楷体" w:eastAsia="楷体" w:cs="楷体"/>
          <w:b/>
          <w:bCs/>
          <w:spacing w:val="0"/>
          <w:sz w:val="32"/>
          <w:szCs w:val="32"/>
          <w:lang w:val="en-US" w:eastAsia="zh-CN"/>
        </w:rPr>
        <w:t>。</w:t>
      </w:r>
      <w:r>
        <w:rPr>
          <w:rFonts w:hint="eastAsia" w:ascii="仿宋_GB2312" w:hAnsi="仿宋_GB2312" w:eastAsia="仿宋_GB2312" w:cs="仿宋_GB2312"/>
          <w:spacing w:val="0"/>
          <w:sz w:val="32"/>
          <w:szCs w:val="32"/>
          <w:lang w:val="en-US" w:eastAsia="zh-CN"/>
        </w:rPr>
        <w:t>把推动党建与业务融合发展作为党对检察工作绝对领导的重要抓手，</w:t>
      </w:r>
      <w:r>
        <w:rPr>
          <w:rFonts w:hint="eastAsia" w:ascii="仿宋_GB2312" w:hAnsi="仿宋_GB2312" w:eastAsia="仿宋_GB2312" w:cs="仿宋_GB2312"/>
          <w:color w:val="000000"/>
          <w:sz w:val="32"/>
          <w:szCs w:val="32"/>
        </w:rPr>
        <w:t>组织干警前往</w:t>
      </w:r>
      <w:r>
        <w:rPr>
          <w:rFonts w:hint="eastAsia" w:ascii="仿宋_GB2312" w:hAnsi="仿宋_GB2312" w:eastAsia="仿宋_GB2312" w:cs="仿宋_GB2312"/>
          <w:color w:val="000000"/>
          <w:sz w:val="32"/>
          <w:szCs w:val="32"/>
          <w:lang w:eastAsia="zh-CN"/>
        </w:rPr>
        <w:t>李继开将军纪念馆</w:t>
      </w:r>
      <w:r>
        <w:rPr>
          <w:rFonts w:hint="eastAsia" w:ascii="仿宋_GB2312" w:hAnsi="仿宋_GB2312" w:eastAsia="仿宋_GB2312" w:cs="仿宋_GB2312"/>
          <w:color w:val="000000"/>
          <w:sz w:val="32"/>
          <w:szCs w:val="32"/>
        </w:rPr>
        <w:t>开展红色</w:t>
      </w:r>
      <w:r>
        <w:rPr>
          <w:rFonts w:hint="eastAsia" w:ascii="仿宋_GB2312" w:hAnsi="仿宋_GB2312" w:eastAsia="仿宋_GB2312" w:cs="仿宋_GB2312"/>
          <w:color w:val="000000"/>
          <w:sz w:val="32"/>
          <w:szCs w:val="32"/>
          <w:lang w:eastAsia="zh-CN"/>
        </w:rPr>
        <w:t>主题党日</w:t>
      </w:r>
      <w:r>
        <w:rPr>
          <w:rFonts w:hint="eastAsia" w:ascii="仿宋_GB2312" w:hAnsi="仿宋_GB2312" w:eastAsia="仿宋_GB2312" w:cs="仿宋_GB2312"/>
          <w:color w:val="000000"/>
          <w:sz w:val="32"/>
          <w:szCs w:val="32"/>
        </w:rPr>
        <w:t>，追寻先烈足迹，汲取奋进力量。抓实“关键少数”，</w:t>
      </w:r>
      <w:r>
        <w:rPr>
          <w:rFonts w:hint="eastAsia" w:ascii="仿宋_GB2312" w:hAnsi="仿宋_GB2312" w:eastAsia="仿宋_GB2312" w:cs="仿宋_GB2312"/>
          <w:spacing w:val="0"/>
          <w:sz w:val="32"/>
          <w:szCs w:val="32"/>
          <w:lang w:val="en-US" w:eastAsia="zh-CN"/>
        </w:rPr>
        <w:t>班子成员兼任党小组长，推动党小组活动实质化开展，</w:t>
      </w:r>
      <w:r>
        <w:rPr>
          <w:rFonts w:hint="eastAsia" w:ascii="仿宋_GB2312" w:hAnsi="仿宋_GB2312" w:eastAsia="仿宋_GB2312" w:cs="仿宋_GB2312"/>
          <w:sz w:val="32"/>
          <w:szCs w:val="32"/>
          <w:lang w:val="en-US" w:eastAsia="zh-CN"/>
        </w:rPr>
        <w:t>紧盯业务综合质效，将短板弱项作为党建工作发力点，实现党建与业务工作同谋划、同部署、两促进。</w:t>
      </w:r>
    </w:p>
    <w:p w14:paraId="14776D8D">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pacing w:val="0"/>
          <w:sz w:val="32"/>
          <w:szCs w:val="32"/>
          <w:lang w:val="en-US" w:eastAsia="zh-CN"/>
        </w:rPr>
        <w:t>运用法治力量为大局服务</w:t>
      </w:r>
    </w:p>
    <w:p w14:paraId="0E0FB4BF">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val="0"/>
          <w:bCs w:val="0"/>
          <w:spacing w:val="0"/>
          <w:sz w:val="32"/>
          <w:szCs w:val="32"/>
          <w:lang w:val="en-US" w:eastAsia="zh-CN"/>
        </w:rPr>
        <w:t>全力护航平安新干建设。</w:t>
      </w:r>
      <w:r>
        <w:rPr>
          <w:rFonts w:hint="eastAsia" w:ascii="仿宋_GB2312" w:hAnsi="仿宋_GB2312" w:eastAsia="仿宋_GB2312" w:cs="仿宋_GB2312"/>
          <w:spacing w:val="0"/>
          <w:sz w:val="32"/>
          <w:szCs w:val="32"/>
          <w:lang w:val="en-US" w:eastAsia="zh-CN"/>
        </w:rPr>
        <w:t>一方面，抓实“严”的一手，</w:t>
      </w:r>
      <w:r>
        <w:rPr>
          <w:rFonts w:hint="eastAsia" w:ascii="仿宋_GB2312" w:hAnsi="宋体" w:eastAsia="仿宋_GB2312" w:cs="仿宋_GB2312"/>
          <w:i w:val="0"/>
          <w:iCs w:val="0"/>
          <w:caps w:val="0"/>
          <w:color w:val="000000"/>
          <w:spacing w:val="0"/>
          <w:sz w:val="32"/>
          <w:szCs w:val="32"/>
          <w:shd w:val="clear" w:color="auto" w:fill="FFFFFF"/>
          <w:lang w:val="en-US" w:eastAsia="zh-CN"/>
        </w:rPr>
        <w:t>办理各类刑事犯罪538件925人，</w:t>
      </w:r>
      <w:r>
        <w:rPr>
          <w:rFonts w:hint="eastAsia" w:ascii="仿宋_GB2312" w:hAnsi="仿宋_GB2312" w:eastAsia="仿宋_GB2312" w:cs="仿宋_GB2312"/>
          <w:spacing w:val="0"/>
          <w:sz w:val="32"/>
          <w:szCs w:val="32"/>
          <w:lang w:val="en-US" w:eastAsia="zh-CN"/>
        </w:rPr>
        <w:t>从重从快办理廖某某等14人涉恶犯罪集团案件，从严惩治毒品犯</w:t>
      </w:r>
      <w:r>
        <w:rPr>
          <w:rFonts w:hint="eastAsia" w:ascii="仿宋_GB2312" w:hAnsi="宋体" w:eastAsia="仿宋_GB2312" w:cs="仿宋_GB2312"/>
          <w:i w:val="0"/>
          <w:iCs w:val="0"/>
          <w:caps w:val="0"/>
          <w:color w:val="000000"/>
          <w:spacing w:val="0"/>
          <w:sz w:val="32"/>
          <w:szCs w:val="32"/>
          <w:shd w:val="clear" w:color="auto" w:fill="FFFFFF"/>
          <w:lang w:val="en-US" w:eastAsia="zh-CN"/>
        </w:rPr>
        <w:t>罪，办理涉毒犯罪案件19件36人，其中移送重大涉毒犯罪案件市检察院审查</w:t>
      </w:r>
      <w:r>
        <w:rPr>
          <w:rFonts w:hint="eastAsia" w:ascii="仿宋_GB2312" w:hAnsi="宋体" w:eastAsia="仿宋_GB2312" w:cs="仿宋_GB2312"/>
          <w:i w:val="0"/>
          <w:iCs w:val="0"/>
          <w:caps w:val="0"/>
          <w:color w:val="auto"/>
          <w:spacing w:val="0"/>
          <w:sz w:val="32"/>
          <w:szCs w:val="32"/>
          <w:shd w:val="clear" w:color="auto" w:fill="FFFFFF"/>
          <w:lang w:val="en-US" w:eastAsia="zh-CN"/>
        </w:rPr>
        <w:t>起诉3件15人</w:t>
      </w:r>
      <w:r>
        <w:rPr>
          <w:rFonts w:hint="eastAsia" w:ascii="仿宋_GB2312" w:hAnsi="宋体" w:eastAsia="仿宋_GB2312" w:cs="仿宋_GB2312"/>
          <w:i w:val="0"/>
          <w:iCs w:val="0"/>
          <w:caps w:val="0"/>
          <w:color w:val="000000"/>
          <w:spacing w:val="0"/>
          <w:sz w:val="32"/>
          <w:szCs w:val="32"/>
          <w:shd w:val="clear" w:color="auto" w:fill="FFFFFF"/>
          <w:lang w:val="en-US" w:eastAsia="zh-CN"/>
        </w:rPr>
        <w:t>。另一方面，规范“宽”</w:t>
      </w:r>
      <w:r>
        <w:rPr>
          <w:rFonts w:hint="eastAsia" w:ascii="仿宋_GB2312" w:hAnsi="仿宋_GB2312" w:eastAsia="仿宋_GB2312" w:cs="仿宋_GB2312"/>
          <w:spacing w:val="0"/>
          <w:sz w:val="32"/>
          <w:szCs w:val="32"/>
          <w:lang w:val="en-US" w:eastAsia="zh-CN"/>
        </w:rPr>
        <w:t>的一面，依法规范适用少捕慎诉慎押刑事司法政策和认罪认罚从宽制度，</w:t>
      </w:r>
      <w:r>
        <w:rPr>
          <w:rFonts w:hint="eastAsia" w:ascii="仿宋_GB2312" w:hAnsi="宋体" w:eastAsia="仿宋_GB2312" w:cs="仿宋_GB2312"/>
          <w:i w:val="0"/>
          <w:iCs w:val="0"/>
          <w:caps w:val="0"/>
          <w:color w:val="000000"/>
          <w:spacing w:val="0"/>
          <w:sz w:val="32"/>
          <w:szCs w:val="32"/>
          <w:shd w:val="clear" w:color="auto" w:fill="FFFFFF"/>
          <w:lang w:eastAsia="zh-CN"/>
        </w:rPr>
        <w:t>不捕</w:t>
      </w:r>
      <w:r>
        <w:rPr>
          <w:rFonts w:hint="eastAsia" w:ascii="仿宋_GB2312" w:hAnsi="宋体" w:eastAsia="仿宋_GB2312" w:cs="仿宋_GB2312"/>
          <w:i w:val="0"/>
          <w:iCs w:val="0"/>
          <w:caps w:val="0"/>
          <w:color w:val="000000"/>
          <w:spacing w:val="0"/>
          <w:sz w:val="32"/>
          <w:szCs w:val="32"/>
          <w:shd w:val="clear" w:color="auto" w:fill="FFFFFF"/>
          <w:lang w:val="en-US" w:eastAsia="zh-CN"/>
        </w:rPr>
        <w:t>272人，不诉148人</w:t>
      </w:r>
      <w:r>
        <w:rPr>
          <w:rFonts w:hint="eastAsia" w:ascii="仿宋_GB2312" w:hAnsi="宋体"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color w:val="000000"/>
          <w:kern w:val="0"/>
          <w:sz w:val="32"/>
          <w:szCs w:val="32"/>
          <w:lang w:eastAsia="zh-CN"/>
        </w:rPr>
        <w:t>适用</w:t>
      </w:r>
      <w:r>
        <w:rPr>
          <w:rFonts w:hint="eastAsia" w:ascii="仿宋_GB2312" w:hAnsi="仿宋_GB2312" w:eastAsia="仿宋_GB2312" w:cs="仿宋_GB2312"/>
          <w:color w:val="000000"/>
          <w:kern w:val="0"/>
          <w:sz w:val="32"/>
          <w:szCs w:val="32"/>
        </w:rPr>
        <w:t>认罪认罚从宽制度</w:t>
      </w:r>
      <w:r>
        <w:rPr>
          <w:rFonts w:hint="eastAsia" w:ascii="仿宋_GB2312" w:hAnsi="仿宋_GB2312" w:eastAsia="仿宋_GB2312" w:cs="仿宋_GB2312"/>
          <w:color w:val="000000"/>
          <w:kern w:val="0"/>
          <w:sz w:val="32"/>
          <w:szCs w:val="32"/>
          <w:lang w:val="en-US" w:eastAsia="zh-CN"/>
        </w:rPr>
        <w:t>365人，适用率为90.77%。</w:t>
      </w:r>
      <w:r>
        <w:rPr>
          <w:rFonts w:hint="eastAsia" w:ascii="仿宋_GB2312" w:hAnsi="仿宋_GB2312" w:eastAsia="仿宋_GB2312" w:cs="仿宋_GB2312"/>
          <w:color w:val="000000"/>
          <w:sz w:val="32"/>
          <w:szCs w:val="32"/>
        </w:rPr>
        <w:t>积极履行惩治腐败职能，监察</w:t>
      </w:r>
      <w:r>
        <w:rPr>
          <w:rFonts w:hint="eastAsia" w:ascii="仿宋_GB2312" w:hAnsi="仿宋_GB2312" w:eastAsia="仿宋_GB2312" w:cs="仿宋_GB2312"/>
          <w:color w:val="000000"/>
          <w:sz w:val="32"/>
          <w:szCs w:val="32"/>
          <w:lang w:eastAsia="zh-CN"/>
        </w:rPr>
        <w:t>机关</w:t>
      </w:r>
      <w:r>
        <w:rPr>
          <w:rFonts w:hint="eastAsia" w:ascii="仿宋_GB2312" w:hAnsi="仿宋_GB2312" w:eastAsia="仿宋_GB2312" w:cs="仿宋_GB2312"/>
          <w:color w:val="000000"/>
          <w:sz w:val="32"/>
          <w:szCs w:val="32"/>
        </w:rPr>
        <w:t>移送的职务犯罪案件</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均由检察长作为主办检察官出庭公诉，其中发表的傅国芽贪污受贿挪用公款案公诉意见书被评为全市检察机关优秀法律文书</w:t>
      </w:r>
      <w:r>
        <w:rPr>
          <w:rFonts w:hint="eastAsia" w:ascii="仿宋_GB2312" w:hAnsi="仿宋_GB2312" w:eastAsia="仿宋_GB2312" w:cs="仿宋_GB2312"/>
          <w:color w:val="000000"/>
          <w:sz w:val="32"/>
          <w:szCs w:val="32"/>
        </w:rPr>
        <w:t>。</w:t>
      </w:r>
    </w:p>
    <w:p w14:paraId="2BCF819A">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 w:hAnsi="楷体" w:eastAsia="楷体" w:cs="楷体"/>
          <w:b w:val="0"/>
          <w:bCs w:val="0"/>
          <w:spacing w:val="0"/>
          <w:sz w:val="32"/>
          <w:szCs w:val="32"/>
          <w:lang w:val="en-US" w:eastAsia="zh-CN"/>
        </w:rPr>
        <w:t>积极参与基层社会治理</w:t>
      </w:r>
      <w:r>
        <w:rPr>
          <w:rFonts w:hint="eastAsia" w:ascii="仿宋_GB2312" w:hAnsi="仿宋_GB2312" w:eastAsia="仿宋_GB2312" w:cs="仿宋_GB2312"/>
          <w:b/>
          <w:bCs/>
          <w:spacing w:val="0"/>
          <w:sz w:val="32"/>
          <w:szCs w:val="32"/>
          <w:lang w:val="en-US" w:eastAsia="zh-CN"/>
        </w:rPr>
        <w:t>。</w:t>
      </w:r>
      <w:r>
        <w:rPr>
          <w:rFonts w:ascii="仿宋_GB2312" w:hAnsi="宋体" w:eastAsia="仿宋_GB2312" w:cs="仿宋_GB2312"/>
          <w:i w:val="0"/>
          <w:iCs w:val="0"/>
          <w:caps w:val="0"/>
          <w:color w:val="000000"/>
          <w:spacing w:val="0"/>
          <w:sz w:val="32"/>
          <w:szCs w:val="32"/>
          <w:shd w:val="clear" w:color="auto" w:fill="FFFFFF"/>
        </w:rPr>
        <w:t>建立</w:t>
      </w:r>
      <w:r>
        <w:rPr>
          <w:rFonts w:hint="eastAsia" w:ascii="仿宋_GB2312" w:hAnsi="宋体" w:eastAsia="仿宋_GB2312" w:cs="仿宋_GB2312"/>
          <w:i w:val="0"/>
          <w:iCs w:val="0"/>
          <w:caps w:val="0"/>
          <w:color w:val="000000"/>
          <w:spacing w:val="0"/>
          <w:sz w:val="32"/>
          <w:szCs w:val="32"/>
          <w:shd w:val="clear" w:color="auto" w:fill="FFFFFF"/>
        </w:rPr>
        <w:t>“案-访比”质效分析管理制度，</w:t>
      </w:r>
      <w:r>
        <w:rPr>
          <w:rFonts w:hint="eastAsia" w:ascii="仿宋_GB2312" w:hAnsi="宋体" w:eastAsia="仿宋_GB2312" w:cs="仿宋_GB2312"/>
          <w:i w:val="0"/>
          <w:iCs w:val="0"/>
          <w:caps w:val="0"/>
          <w:color w:val="000000"/>
          <w:spacing w:val="0"/>
          <w:sz w:val="32"/>
          <w:szCs w:val="32"/>
          <w:shd w:val="clear" w:color="auto" w:fill="FFFFFF"/>
          <w:lang w:eastAsia="zh-CN"/>
        </w:rPr>
        <w:t>倒逼</w:t>
      </w:r>
      <w:r>
        <w:rPr>
          <w:rFonts w:hint="eastAsia" w:ascii="仿宋_GB2312" w:hAnsi="宋体" w:eastAsia="仿宋_GB2312" w:cs="仿宋_GB2312"/>
          <w:i w:val="0"/>
          <w:iCs w:val="0"/>
          <w:caps w:val="0"/>
          <w:color w:val="000000"/>
          <w:spacing w:val="0"/>
          <w:sz w:val="32"/>
          <w:szCs w:val="32"/>
          <w:shd w:val="clear" w:color="auto" w:fill="FFFFFF"/>
        </w:rPr>
        <w:t>检察官加强释法说理和矛盾化解</w:t>
      </w:r>
      <w:r>
        <w:rPr>
          <w:rFonts w:hint="eastAsia" w:ascii="仿宋_GB2312" w:hAnsi="宋体" w:eastAsia="仿宋_GB2312" w:cs="仿宋_GB2312"/>
          <w:i w:val="0"/>
          <w:iCs w:val="0"/>
          <w:caps w:val="0"/>
          <w:color w:val="000000"/>
          <w:spacing w:val="0"/>
          <w:sz w:val="32"/>
          <w:szCs w:val="32"/>
          <w:shd w:val="clear" w:color="auto" w:fill="FFFFFF"/>
          <w:lang w:eastAsia="zh-CN"/>
        </w:rPr>
        <w:t>。深入推进</w:t>
      </w:r>
      <w:r>
        <w:rPr>
          <w:rFonts w:hint="eastAsia" w:ascii="仿宋_GB2312" w:hAnsi="仿宋_GB2312" w:eastAsia="仿宋_GB2312" w:cs="仿宋_GB2312"/>
          <w:spacing w:val="0"/>
          <w:sz w:val="32"/>
          <w:szCs w:val="32"/>
          <w:highlight w:val="none"/>
          <w:lang w:val="en-US" w:eastAsia="zh-CN"/>
        </w:rPr>
        <w:t>“一乡镇一检察官”</w:t>
      </w:r>
      <w:r>
        <w:rPr>
          <w:rFonts w:hint="eastAsia" w:ascii="仿宋_GB2312" w:hAnsi="宋体" w:eastAsia="仿宋_GB2312" w:cs="仿宋_GB2312"/>
          <w:i w:val="0"/>
          <w:iCs w:val="0"/>
          <w:caps w:val="0"/>
          <w:color w:val="000000"/>
          <w:spacing w:val="0"/>
          <w:sz w:val="32"/>
          <w:szCs w:val="32"/>
          <w:shd w:val="clear" w:color="auto" w:fill="FFFFFF"/>
          <w:lang w:eastAsia="zh-CN"/>
        </w:rPr>
        <w:t>工作，结合“三帮四促”“平安夜访”等活动，将检察工作联系到最基层，</w:t>
      </w:r>
      <w:r>
        <w:rPr>
          <w:rFonts w:hint="eastAsia" w:ascii="仿宋_GB2312" w:hAnsi="仿宋_GB2312" w:eastAsia="仿宋_GB2312" w:cs="仿宋_GB2312"/>
          <w:b w:val="0"/>
          <w:bCs w:val="0"/>
          <w:kern w:val="2"/>
          <w:sz w:val="32"/>
          <w:szCs w:val="32"/>
          <w:lang w:val="en-US" w:eastAsia="zh-CN" w:bidi="ar-SA"/>
        </w:rPr>
        <w:t>推动形成群众办事依法、遇事找法、解决问题用法、化解矛盾靠法的良好局面。</w:t>
      </w:r>
      <w:r>
        <w:rPr>
          <w:rFonts w:hint="eastAsia" w:ascii="仿宋_GB2312" w:hAnsi="仿宋_GB2312" w:eastAsia="仿宋_GB2312" w:cs="仿宋_GB2312"/>
          <w:color w:val="000000"/>
          <w:sz w:val="32"/>
          <w:szCs w:val="32"/>
        </w:rPr>
        <w:t>深化行业整治，</w:t>
      </w:r>
      <w:r>
        <w:rPr>
          <w:rFonts w:hint="eastAsia" w:ascii="仿宋_GB2312" w:hAnsi="仿宋_GB2312" w:eastAsia="仿宋_GB2312" w:cs="仿宋_GB2312"/>
          <w:color w:val="000000"/>
          <w:sz w:val="32"/>
          <w:szCs w:val="32"/>
          <w:lang w:eastAsia="zh-CN"/>
        </w:rPr>
        <w:t>以“调研报告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检察建议</w:t>
      </w:r>
      <w:r>
        <w:rPr>
          <w:rFonts w:hint="eastAsia" w:ascii="仿宋_GB2312" w:hAnsi="仿宋_GB2312" w:eastAsia="仿宋_GB2312" w:cs="仿宋_GB2312"/>
          <w:color w:val="000000"/>
          <w:sz w:val="32"/>
          <w:szCs w:val="32"/>
          <w:lang w:eastAsia="zh-CN"/>
        </w:rPr>
        <w:t>”方式</w:t>
      </w:r>
      <w:r>
        <w:rPr>
          <w:rFonts w:hint="eastAsia" w:ascii="仿宋_GB2312" w:hAnsi="仿宋_GB2312" w:eastAsia="仿宋_GB2312" w:cs="仿宋_GB2312"/>
          <w:color w:val="000000"/>
          <w:sz w:val="32"/>
          <w:szCs w:val="32"/>
        </w:rPr>
        <w:t>制发检察建议</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份，推动诉源</w:t>
      </w:r>
      <w:r>
        <w:rPr>
          <w:rFonts w:hint="eastAsia" w:ascii="仿宋_GB2312" w:hAnsi="仿宋_GB2312" w:eastAsia="仿宋_GB2312" w:cs="仿宋_GB2312"/>
          <w:color w:val="000000"/>
          <w:sz w:val="32"/>
          <w:szCs w:val="32"/>
          <w:highlight w:val="none"/>
        </w:rPr>
        <w:t>治理。</w:t>
      </w:r>
      <w:r>
        <w:rPr>
          <w:rFonts w:hint="eastAsia" w:ascii="仿宋_GB2312" w:hAnsi="仿宋_GB2312" w:eastAsia="仿宋_GB2312" w:cs="仿宋_GB2312"/>
          <w:b w:val="0"/>
          <w:bCs w:val="0"/>
          <w:kern w:val="2"/>
          <w:sz w:val="32"/>
          <w:szCs w:val="32"/>
          <w:highlight w:val="none"/>
          <w:lang w:val="en-US" w:eastAsia="zh-CN" w:bidi="ar-SA"/>
        </w:rPr>
        <w:t>助力全国文明城市创建，积极开展“走千楼、访万户”和志愿者活动</w:t>
      </w:r>
      <w:r>
        <w:rPr>
          <w:rFonts w:hint="eastAsia" w:ascii="仿宋_GB2312" w:hAnsi="仿宋_GB2312" w:eastAsia="仿宋_GB2312" w:cs="仿宋_GB2312"/>
          <w:b w:val="0"/>
          <w:bCs w:val="0"/>
          <w:color w:val="000000"/>
          <w:kern w:val="2"/>
          <w:sz w:val="32"/>
          <w:szCs w:val="32"/>
          <w:highlight w:val="none"/>
          <w:lang w:val="en-US" w:eastAsia="zh-CN" w:bidi="ar-SA"/>
        </w:rPr>
        <w:t>。</w:t>
      </w:r>
    </w:p>
    <w:p w14:paraId="7FD1886C">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楷体" w:hAnsi="楷体" w:eastAsia="楷体" w:cs="楷体"/>
          <w:b w:val="0"/>
          <w:bCs w:val="0"/>
          <w:color w:val="000000"/>
          <w:kern w:val="2"/>
          <w:sz w:val="32"/>
          <w:szCs w:val="32"/>
          <w:highlight w:val="none"/>
          <w:lang w:val="en-US" w:eastAsia="zh-CN" w:bidi="ar-SA"/>
        </w:rPr>
        <w:t xml:space="preserve"> </w:t>
      </w:r>
      <w:r>
        <w:rPr>
          <w:rFonts w:hint="eastAsia" w:ascii="楷体" w:hAnsi="楷体" w:eastAsia="楷体" w:cs="楷体"/>
          <w:b w:val="0"/>
          <w:bCs w:val="0"/>
          <w:spacing w:val="0"/>
          <w:sz w:val="32"/>
          <w:szCs w:val="32"/>
          <w:highlight w:val="none"/>
          <w:lang w:val="en-US" w:eastAsia="zh-CN"/>
        </w:rPr>
        <w:t>优化升级法治化营商环境</w:t>
      </w:r>
      <w:r>
        <w:rPr>
          <w:rFonts w:hint="eastAsia" w:ascii="仿宋_GB2312" w:hAnsi="仿宋_GB2312" w:eastAsia="仿宋_GB2312" w:cs="仿宋_GB2312"/>
          <w:b/>
          <w:bCs/>
          <w:spacing w:val="0"/>
          <w:sz w:val="32"/>
          <w:szCs w:val="32"/>
          <w:highlight w:val="none"/>
          <w:lang w:val="en-US" w:eastAsia="zh-CN"/>
        </w:rPr>
        <w:t>。</w:t>
      </w:r>
      <w:r>
        <w:rPr>
          <w:rFonts w:hint="eastAsia" w:ascii="仿宋_GB2312" w:hAnsi="仿宋_GB2312" w:eastAsia="仿宋_GB2312" w:cs="仿宋_GB2312"/>
          <w:b w:val="0"/>
          <w:bCs w:val="0"/>
          <w:kern w:val="2"/>
          <w:sz w:val="32"/>
          <w:szCs w:val="32"/>
          <w:highlight w:val="none"/>
          <w:lang w:val="en-US" w:eastAsia="zh-CN" w:bidi="ar-SA"/>
        </w:rPr>
        <w:t>树立“法治是最好的营商环境”理念，</w:t>
      </w:r>
      <w:r>
        <w:rPr>
          <w:rFonts w:hint="eastAsia" w:ascii="仿宋_GB2312" w:hAnsi="仿宋_GB2312" w:eastAsia="仿宋_GB2312" w:cs="仿宋_GB2312"/>
          <w:spacing w:val="0"/>
          <w:sz w:val="32"/>
          <w:szCs w:val="32"/>
          <w:highlight w:val="none"/>
          <w:lang w:val="en-US" w:eastAsia="zh-CN"/>
        </w:rPr>
        <w:t>深化落实服务保障“一号改革工</w:t>
      </w:r>
      <w:r>
        <w:rPr>
          <w:rFonts w:hint="eastAsia" w:ascii="仿宋_GB2312" w:hAnsi="仿宋_GB2312" w:eastAsia="仿宋_GB2312" w:cs="仿宋_GB2312"/>
          <w:spacing w:val="0"/>
          <w:sz w:val="32"/>
          <w:szCs w:val="32"/>
          <w:lang w:val="en-US" w:eastAsia="zh-CN"/>
        </w:rPr>
        <w:t>程”10条举措，结对帮扶27家企业，广泛开展企业走访，为帮扶企业解决生产经营困难问题12</w:t>
      </w:r>
      <w:r>
        <w:rPr>
          <w:rFonts w:hint="eastAsia" w:ascii="仿宋_GB2312" w:hAnsi="仿宋_GB2312" w:eastAsia="仿宋_GB2312" w:cs="仿宋_GB2312"/>
          <w:color w:val="auto"/>
          <w:spacing w:val="0"/>
          <w:sz w:val="32"/>
          <w:szCs w:val="32"/>
          <w:lang w:val="en-US" w:eastAsia="zh-CN"/>
        </w:rPr>
        <w:t>个。依法打击社会主义市场经济犯罪，受理审查逮捕该类案件25件67人，审查起诉32件104人，推动形成公平竞争、规范有序的市场环境。</w:t>
      </w:r>
    </w:p>
    <w:p w14:paraId="3ACC0FC1">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b w:val="0"/>
          <w:bCs w:val="0"/>
          <w:spacing w:val="0"/>
          <w:sz w:val="32"/>
          <w:szCs w:val="32"/>
          <w:lang w:val="en-US" w:eastAsia="zh-CN"/>
        </w:rPr>
        <w:t>服务美丽新干建设</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坚持“绿水青山就是金山银山”理念，依法惩治</w:t>
      </w:r>
      <w:r>
        <w:rPr>
          <w:rFonts w:hint="eastAsia" w:ascii="仿宋_GB2312" w:hAnsi="仿宋_GB2312" w:eastAsia="仿宋_GB2312" w:cs="仿宋_GB2312"/>
          <w:color w:val="000000"/>
          <w:kern w:val="2"/>
          <w:sz w:val="32"/>
          <w:szCs w:val="32"/>
          <w:highlight w:val="none"/>
          <w:shd w:val="clear" w:color="auto" w:fill="FFFFFF"/>
          <w:lang w:val="en-US" w:eastAsia="zh-CN" w:bidi="ar-SA"/>
        </w:rPr>
        <w:t>破坏生态环境犯罪案</w:t>
      </w:r>
      <w:r>
        <w:rPr>
          <w:rFonts w:hint="eastAsia" w:ascii="仿宋_GB2312" w:hAnsi="仿宋_GB2312" w:eastAsia="仿宋_GB2312" w:cs="仿宋_GB2312"/>
          <w:color w:val="auto"/>
          <w:kern w:val="2"/>
          <w:sz w:val="32"/>
          <w:szCs w:val="32"/>
          <w:highlight w:val="none"/>
          <w:shd w:val="clear" w:color="auto" w:fill="FFFFFF"/>
          <w:lang w:val="en-US" w:eastAsia="zh-CN" w:bidi="ar-SA"/>
        </w:rPr>
        <w:t>件16件42人，</w:t>
      </w:r>
      <w:r>
        <w:rPr>
          <w:rFonts w:hint="eastAsia" w:ascii="仿宋_GB2312" w:hAnsi="仿宋_GB2312" w:eastAsia="仿宋_GB2312" w:cs="仿宋_GB2312"/>
          <w:color w:val="auto"/>
          <w:kern w:val="2"/>
          <w:sz w:val="32"/>
          <w:szCs w:val="32"/>
          <w:shd w:val="clear" w:color="auto" w:fill="FFFFFF"/>
        </w:rPr>
        <w:t>办理生态资源领域公益诉讼案件</w:t>
      </w:r>
      <w:r>
        <w:rPr>
          <w:rFonts w:hint="eastAsia" w:ascii="仿宋_GB2312" w:hAnsi="仿宋_GB2312" w:eastAsia="仿宋_GB2312" w:cs="仿宋_GB2312"/>
          <w:color w:val="auto"/>
          <w:kern w:val="2"/>
          <w:sz w:val="32"/>
          <w:szCs w:val="32"/>
          <w:shd w:val="clear" w:color="auto" w:fill="FFFFFF"/>
          <w:lang w:val="en-US" w:eastAsia="zh-CN"/>
        </w:rPr>
        <w:t>37</w:t>
      </w:r>
      <w:r>
        <w:rPr>
          <w:rFonts w:hint="eastAsia" w:ascii="仿宋_GB2312" w:hAnsi="仿宋_GB2312" w:eastAsia="仿宋_GB2312" w:cs="仿宋_GB2312"/>
          <w:color w:val="auto"/>
          <w:kern w:val="2"/>
          <w:sz w:val="32"/>
          <w:szCs w:val="32"/>
          <w:shd w:val="clear" w:color="auto" w:fill="FFFFFF"/>
        </w:rPr>
        <w:t>件</w:t>
      </w:r>
      <w:r>
        <w:rPr>
          <w:rFonts w:hint="eastAsia" w:ascii="仿宋_GB2312" w:hAnsi="仿宋_GB2312" w:eastAsia="仿宋_GB2312" w:cs="仿宋_GB2312"/>
          <w:color w:val="auto"/>
          <w:kern w:val="2"/>
          <w:sz w:val="32"/>
          <w:szCs w:val="32"/>
          <w:shd w:val="clear" w:color="auto" w:fill="FFFFFF"/>
          <w:lang w:eastAsia="zh-CN"/>
        </w:rPr>
        <w:t>，发出诉前检察建议</w:t>
      </w:r>
      <w:r>
        <w:rPr>
          <w:rFonts w:hint="eastAsia" w:ascii="仿宋_GB2312" w:hAnsi="仿宋_GB2312" w:eastAsia="仿宋_GB2312" w:cs="仿宋_GB2312"/>
          <w:color w:val="auto"/>
          <w:kern w:val="2"/>
          <w:sz w:val="32"/>
          <w:szCs w:val="32"/>
          <w:shd w:val="clear" w:color="auto" w:fill="FFFFFF"/>
          <w:lang w:val="en-US" w:eastAsia="zh-CN"/>
        </w:rPr>
        <w:t>4份。</w:t>
      </w:r>
      <w:r>
        <w:rPr>
          <w:rFonts w:hint="eastAsia" w:ascii="仿宋_GB2312" w:hAnsi="仿宋_GB2312" w:eastAsia="仿宋_GB2312" w:cs="仿宋_GB2312"/>
          <w:color w:val="auto"/>
          <w:kern w:val="0"/>
          <w:sz w:val="32"/>
          <w:szCs w:val="32"/>
          <w:highlight w:val="none"/>
          <w:lang w:val="en-US" w:eastAsia="zh-CN"/>
        </w:rPr>
        <w:t>联合县河长办对全县8座劣V类水库进行调查，立案</w:t>
      </w:r>
      <w:r>
        <w:rPr>
          <w:rFonts w:hint="eastAsia" w:ascii="仿宋_GB2312" w:hAnsi="仿宋_GB2312" w:eastAsia="仿宋_GB2312" w:cs="仿宋_GB2312"/>
          <w:sz w:val="32"/>
          <w:szCs w:val="32"/>
          <w:shd w:val="clear" w:color="auto" w:fill="FFFFFF"/>
        </w:rPr>
        <w:t>公益诉讼案件</w:t>
      </w:r>
      <w:r>
        <w:rPr>
          <w:rFonts w:hint="eastAsia" w:ascii="仿宋_GB2312" w:hAnsi="仿宋_GB2312" w:eastAsia="仿宋_GB2312" w:cs="仿宋_GB2312"/>
          <w:color w:val="auto"/>
          <w:kern w:val="0"/>
          <w:sz w:val="32"/>
          <w:szCs w:val="32"/>
          <w:highlight w:val="none"/>
          <w:lang w:val="en-US" w:eastAsia="zh-CN"/>
        </w:rPr>
        <w:t>3件。</w:t>
      </w:r>
      <w:r>
        <w:rPr>
          <w:rFonts w:hint="eastAsia" w:ascii="仿宋_GB2312" w:hAnsi="仿宋_GB2312" w:eastAsia="仿宋_GB2312" w:cs="仿宋_GB2312"/>
          <w:color w:val="auto"/>
          <w:sz w:val="32"/>
          <w:szCs w:val="32"/>
        </w:rPr>
        <w:t>深入开展“补植复绿”“水域治理”“生态补偿”等生态修复性工作</w:t>
      </w:r>
      <w:r>
        <w:rPr>
          <w:rFonts w:hint="eastAsia" w:ascii="仿宋_GB2312" w:hAnsi="仿宋_GB2312" w:eastAsia="仿宋_GB2312" w:cs="仿宋_GB2312"/>
          <w:color w:val="auto"/>
          <w:sz w:val="32"/>
          <w:szCs w:val="32"/>
          <w:shd w:val="clear" w:color="auto" w:fill="FFFFFF"/>
        </w:rPr>
        <w:t>，</w:t>
      </w:r>
      <w:r>
        <w:rPr>
          <w:rFonts w:hint="eastAsia" w:ascii="Times New Roman" w:hAnsi="Times New Roman" w:eastAsia="仿宋_GB2312" w:cs="Times New Roman"/>
          <w:color w:val="auto"/>
          <w:sz w:val="32"/>
          <w:szCs w:val="32"/>
        </w:rPr>
        <w:t>推动整治有污染环境行为企业6家，清理污染和非法占用的河道近80公里，督促回收和清理生产类固体废物200余吨。</w:t>
      </w:r>
      <w:r>
        <w:rPr>
          <w:rFonts w:hint="eastAsia" w:ascii="仿宋_GB2312" w:hAnsi="仿宋_GB2312" w:eastAsia="仿宋_GB2312" w:cs="仿宋_GB2312"/>
          <w:color w:val="auto"/>
          <w:spacing w:val="0"/>
          <w:sz w:val="32"/>
          <w:szCs w:val="32"/>
          <w:lang w:val="en-US" w:eastAsia="zh-CN"/>
        </w:rPr>
        <w:t>积极开展生态环境损害赔偿磋商工作，签订《生态环境损害赔偿协议》 10份，督促违法行为人通过交纳生态修复资金、增殖放流、补植复绿等方式，将资源破坏和环境污染损失降到最低。</w:t>
      </w:r>
    </w:p>
    <w:p w14:paraId="59068E51">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三、践行检察初心为人民司法</w:t>
      </w:r>
    </w:p>
    <w:p w14:paraId="3AB8B56A">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寰蒋闆呴粦"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cs="楷体"/>
          <w:b w:val="0"/>
          <w:bCs w:val="0"/>
          <w:spacing w:val="0"/>
          <w:sz w:val="32"/>
          <w:szCs w:val="32"/>
          <w:lang w:val="en-US" w:eastAsia="zh-CN"/>
        </w:rPr>
        <w:t>用力做实检察为民实事</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color w:val="auto"/>
          <w:kern w:val="2"/>
          <w:sz w:val="32"/>
          <w:szCs w:val="32"/>
          <w:shd w:val="clear" w:color="auto" w:fill="FFFFFF"/>
          <w:lang w:val="en-US" w:eastAsia="zh-CN"/>
        </w:rPr>
        <w:t>聚焦群众反映强烈的突出问题，</w:t>
      </w:r>
      <w:r>
        <w:rPr>
          <w:rFonts w:hint="eastAsia" w:ascii="仿宋_GB2312" w:hAnsi="仿宋_GB2312" w:eastAsia="仿宋_GB2312" w:cs="仿宋_GB2312"/>
          <w:color w:val="auto"/>
          <w:kern w:val="2"/>
          <w:sz w:val="32"/>
          <w:szCs w:val="32"/>
          <w:shd w:val="clear" w:color="auto" w:fill="FFFFFF"/>
        </w:rPr>
        <w:t>持续做好群众可感受、能体验、得实惠的检察为民实事</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spacing w:val="0"/>
          <w:sz w:val="32"/>
          <w:szCs w:val="32"/>
          <w:lang w:val="en-US" w:eastAsia="zh-CN"/>
        </w:rPr>
        <w:t>办理涉电信网络诈骗、网络“黄赌毒”等犯罪案件37件88人、“盗抢骗”侵财犯罪案件 60件 68人，其中对涉案金额巨大的刘某某等26人帮助信息网络、掩饰、隐瞒犯罪所得案和盗窃惯犯冯某某依法提起公诉，并从重提出量刑建议，有力震慑犯罪</w:t>
      </w:r>
      <w:r>
        <w:rPr>
          <w:rFonts w:hint="eastAsia" w:ascii="仿宋_GB2312" w:hAnsi="仿宋_GB2312" w:eastAsia="仿宋_GB2312" w:cs="仿宋_GB2312"/>
          <w:b w:val="0"/>
          <w:bCs w:val="0"/>
          <w:spacing w:val="0"/>
          <w:sz w:val="32"/>
          <w:szCs w:val="32"/>
          <w:lang w:val="en-US" w:eastAsia="zh-CN"/>
        </w:rPr>
        <w:t>。积极开展母婴产品行业、校园食堂食品安全等领域专项监督检查，覆盖母婴行业企业及商户60余家，学校食堂10余所，督促职能部门查扣问题产品500余件，货值金额3万余元，督促整改违规经营商户10余家。</w:t>
      </w:r>
      <w:r>
        <w:rPr>
          <w:rFonts w:hint="eastAsia" w:ascii="仿宋" w:hAnsi="仿宋" w:eastAsia="仿宋" w:cs="仿宋"/>
          <w:b w:val="0"/>
          <w:bCs w:val="0"/>
          <w:i w:val="0"/>
          <w:iCs w:val="0"/>
          <w:caps w:val="0"/>
          <w:color w:val="000000"/>
          <w:spacing w:val="0"/>
          <w:sz w:val="32"/>
          <w:szCs w:val="32"/>
          <w:shd w:val="clear" w:color="auto" w:fill="FFFFFF"/>
          <w:lang w:val="en-US" w:eastAsia="zh-CN"/>
        </w:rPr>
        <w:t>助力服务乡村振兴，</w:t>
      </w:r>
      <w:r>
        <w:rPr>
          <w:rFonts w:hint="eastAsia" w:ascii="仿宋_GB2312" w:hAnsi="仿宋_GB2312" w:eastAsia="仿宋_GB2312" w:cs="仿宋_GB2312"/>
          <w:color w:val="000000"/>
          <w:sz w:val="32"/>
          <w:szCs w:val="32"/>
          <w:highlight w:val="none"/>
        </w:rPr>
        <w:t>结对帮扶脱贫户29户，落实各项帮扶资金15.2万元，</w:t>
      </w:r>
      <w:r>
        <w:rPr>
          <w:rFonts w:hint="eastAsia" w:ascii="仿宋_GB2312" w:hAnsi="仿宋_GB2312" w:eastAsia="仿宋_GB2312" w:cs="仿宋_GB2312"/>
          <w:color w:val="000000"/>
          <w:sz w:val="32"/>
          <w:szCs w:val="32"/>
          <w:shd w:val="clear" w:color="auto" w:fill="FFFFFF"/>
        </w:rPr>
        <w:t>对生活陷入困境的案件当事人开展司法救助，做到应救尽救，</w:t>
      </w:r>
      <w:r>
        <w:rPr>
          <w:rFonts w:hint="eastAsia" w:ascii="仿宋_GB2312" w:hAnsi="仿宋_GB2312" w:eastAsia="仿宋_GB2312" w:cs="仿宋_GB2312"/>
          <w:color w:val="000000"/>
          <w:kern w:val="0"/>
          <w:sz w:val="32"/>
          <w:szCs w:val="32"/>
          <w:highlight w:val="none"/>
          <w:lang w:val="en-US" w:eastAsia="zh-CN" w:bidi="ar-SA"/>
        </w:rPr>
        <w:t>办理司法救助案件54件，发放司法救助金69.91万元，彰显检察温度和司法温情。</w:t>
      </w:r>
    </w:p>
    <w:p w14:paraId="3C79879D">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楷体" w:hAnsi="楷体" w:eastAsia="楷体" w:cs="楷体"/>
          <w:b w:val="0"/>
          <w:bCs w:val="0"/>
          <w:spacing w:val="0"/>
          <w:sz w:val="32"/>
          <w:szCs w:val="32"/>
          <w:lang w:val="en-US" w:eastAsia="zh-CN"/>
        </w:rPr>
        <w:t>全面落实未成年人综合司法保护</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color w:val="000000"/>
          <w:kern w:val="0"/>
          <w:sz w:val="32"/>
          <w:szCs w:val="32"/>
          <w:highlight w:val="none"/>
          <w:lang w:val="en-US" w:eastAsia="zh-CN" w:bidi="ar-SA"/>
        </w:rPr>
        <w:t>以县人大常委会听取和审议未成年人检察工作为契机，深化未成年人全面综合司法保护，从严打击侵害未成年人犯罪，批捕侵害未成年人犯罪嫌疑人 6人，起诉6人，对量刑畸轻案件提出抗诉1件；对罪错未成年人坚持教育感化挽救方针，不捕23人，不起诉6人，附条件不起诉9人。创设</w:t>
      </w:r>
      <w:r>
        <w:rPr>
          <w:rFonts w:hint="eastAsia" w:ascii="仿宋_GB2312" w:hAnsi="仿宋_GB2312" w:eastAsia="仿宋_GB2312" w:cs="仿宋_GB2312"/>
          <w:sz w:val="32"/>
          <w:szCs w:val="32"/>
          <w:highlight w:val="none"/>
          <w:lang w:eastAsia="zh-CN"/>
        </w:rPr>
        <w:t>“淦蕾</w:t>
      </w:r>
      <w:r>
        <w:rPr>
          <w:rFonts w:hint="eastAsia" w:ascii="仿宋_GB2312" w:hAnsi="仿宋_GB2312" w:eastAsia="仿宋_GB2312" w:cs="仿宋_GB2312"/>
          <w:sz w:val="32"/>
          <w:szCs w:val="32"/>
          <w:highlight w:val="none"/>
          <w:lang w:val="en-US" w:eastAsia="zh-CN"/>
        </w:rPr>
        <w:t>·未检工作室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SA"/>
        </w:rPr>
        <w:t>，探索“法治辅导员+班主任”沉浸式帮扶模式，向新干四中派驻6名法治辅导员参与学校安全管理整治，对问题学生实施精准帮教。聚焦预防未成年人犯罪，牵头落实《新干县开展预防未成年人犯罪专项行动实施方案》，开展“法治心育进千校 检爱同行护成长”活动，11名法治副校长，围绕防校园欺凌、防性侵、防网络诈骗、强制报告制度</w:t>
      </w:r>
      <w:r>
        <w:rPr>
          <w:rFonts w:hint="default" w:ascii="Calibri" w:hAnsi="Calibri" w:eastAsia="仿宋_GB2312" w:cs="Calibri"/>
          <w:color w:val="000000"/>
          <w:kern w:val="0"/>
          <w:sz w:val="32"/>
          <w:szCs w:val="32"/>
          <w:highlight w:val="none"/>
          <w:vertAlign w:val="superscript"/>
          <w:lang w:val="en-US" w:eastAsia="zh-CN" w:bidi="ar-SA"/>
        </w:rPr>
        <w:t>③</w:t>
      </w:r>
      <w:r>
        <w:rPr>
          <w:rFonts w:hint="eastAsia" w:ascii="仿宋_GB2312" w:hAnsi="仿宋_GB2312" w:eastAsia="仿宋_GB2312" w:cs="仿宋_GB2312"/>
          <w:color w:val="000000"/>
          <w:kern w:val="0"/>
          <w:sz w:val="32"/>
          <w:szCs w:val="32"/>
          <w:highlight w:val="none"/>
          <w:lang w:val="en-US" w:eastAsia="zh-CN" w:bidi="ar-SA"/>
        </w:rPr>
        <w:t>等主题，进校园法治宣讲13场次。举办检察开放日活动，邀请30余名师生走进检察院，“零距离”感触检察工作。</w:t>
      </w:r>
    </w:p>
    <w:p w14:paraId="1CAB14D5">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楷体" w:hAnsi="楷体" w:eastAsia="楷体" w:cs="楷体"/>
          <w:b w:val="0"/>
          <w:bCs w:val="0"/>
          <w:spacing w:val="0"/>
          <w:sz w:val="32"/>
          <w:szCs w:val="32"/>
          <w:lang w:val="en-US" w:eastAsia="zh-CN"/>
        </w:rPr>
        <w:t>用心用情回应群众司法诉求</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color w:val="000000"/>
          <w:kern w:val="0"/>
          <w:sz w:val="32"/>
          <w:szCs w:val="32"/>
          <w:highlight w:val="none"/>
          <w:lang w:val="en-US" w:eastAsia="zh-CN" w:bidi="ar-SA"/>
        </w:rPr>
        <w:t>践行新时代“枫桥经验”“浦江经验”，</w:t>
      </w:r>
      <w:r>
        <w:rPr>
          <w:rFonts w:hint="eastAsia" w:ascii="仿宋_GB2312" w:hAnsi="仿宋_GB2312" w:eastAsia="仿宋_GB2312" w:cs="仿宋_GB2312"/>
          <w:b w:val="0"/>
          <w:bCs w:val="0"/>
          <w:spacing w:val="0"/>
          <w:kern w:val="2"/>
          <w:sz w:val="32"/>
          <w:szCs w:val="32"/>
          <w:lang w:val="en-US" w:eastAsia="zh-CN" w:bidi="ar-SA"/>
        </w:rPr>
        <w:t>全面巩固深化</w:t>
      </w:r>
      <w:r>
        <w:rPr>
          <w:rFonts w:hint="eastAsia" w:ascii="仿宋_GB2312" w:hAnsi="仿宋_GB2312" w:eastAsia="仿宋_GB2312" w:cs="仿宋_GB2312"/>
          <w:color w:val="000000"/>
          <w:sz w:val="32"/>
          <w:szCs w:val="32"/>
          <w:shd w:val="clear" w:color="auto" w:fill="FFFFFF"/>
        </w:rPr>
        <w:t>“群众信访件件有回复”</w:t>
      </w:r>
      <w:r>
        <w:rPr>
          <w:rFonts w:hint="eastAsia" w:ascii="仿宋_GB2312" w:hAnsi="仿宋_GB2312" w:eastAsia="仿宋_GB2312" w:cs="仿宋_GB2312"/>
          <w:color w:val="000000"/>
          <w:sz w:val="32"/>
          <w:szCs w:val="32"/>
          <w:shd w:val="clear" w:color="auto" w:fill="FFFFFF"/>
          <w:lang w:eastAsia="zh-CN"/>
        </w:rPr>
        <w:t>制度，抓实领导包案办理首次信访案件，用心用情把释法说理和矛盾化解做到位，受理群众信访</w:t>
      </w:r>
      <w:r>
        <w:rPr>
          <w:rFonts w:hint="eastAsia" w:ascii="仿宋_GB2312" w:hAnsi="仿宋_GB2312" w:eastAsia="仿宋_GB2312" w:cs="仿宋_GB2312"/>
          <w:color w:val="000000"/>
          <w:sz w:val="32"/>
          <w:szCs w:val="32"/>
          <w:shd w:val="clear" w:color="auto" w:fill="FFFFFF"/>
          <w:lang w:val="en-US" w:eastAsia="zh-CN"/>
        </w:rPr>
        <w:t>41件，</w:t>
      </w:r>
      <w:r>
        <w:rPr>
          <w:rFonts w:hint="eastAsia" w:ascii="仿宋_GB2312" w:hAnsi="仿宋_GB2312" w:eastAsia="仿宋_GB2312" w:cs="仿宋_GB2312"/>
          <w:color w:val="000000"/>
          <w:sz w:val="32"/>
          <w:szCs w:val="32"/>
          <w:shd w:val="clear" w:color="auto" w:fill="FFFFFF"/>
        </w:rPr>
        <w:t>均做到</w:t>
      </w:r>
      <w:r>
        <w:rPr>
          <w:rFonts w:hint="eastAsia" w:ascii="仿宋_GB2312" w:hAnsi="仿宋_GB2312" w:eastAsia="仿宋_GB2312" w:cs="仿宋_GB2312"/>
          <w:color w:val="000000"/>
          <w:sz w:val="32"/>
          <w:szCs w:val="32"/>
          <w:shd w:val="clear" w:color="auto" w:fill="FFFFFF"/>
          <w:lang w:eastAsia="zh-CN"/>
        </w:rPr>
        <w:t>在规定期限内</w:t>
      </w:r>
      <w:r>
        <w:rPr>
          <w:rFonts w:hint="eastAsia" w:ascii="仿宋_GB2312" w:hAnsi="仿宋_GB2312" w:eastAsia="仿宋_GB2312" w:cs="仿宋_GB2312"/>
          <w:color w:val="000000"/>
          <w:sz w:val="32"/>
          <w:szCs w:val="32"/>
          <w:shd w:val="clear" w:color="auto" w:fill="FFFFFF"/>
        </w:rPr>
        <w:t>答复回复</w:t>
      </w:r>
      <w:r>
        <w:rPr>
          <w:rFonts w:hint="eastAsia" w:ascii="仿宋_GB2312" w:hAnsi="仿宋_GB2312" w:eastAsia="仿宋_GB2312" w:cs="仿宋_GB2312"/>
          <w:color w:val="000000"/>
          <w:sz w:val="32"/>
          <w:szCs w:val="32"/>
          <w:shd w:val="clear" w:color="auto" w:fill="FFFFFF"/>
          <w:lang w:eastAsia="zh-CN"/>
        </w:rPr>
        <w:t>，其中</w:t>
      </w:r>
      <w:r>
        <w:rPr>
          <w:rFonts w:hint="eastAsia" w:ascii="仿宋_GB2312" w:hAnsi="仿宋_GB2312" w:eastAsia="仿宋_GB2312" w:cs="仿宋_GB2312"/>
          <w:color w:val="000000"/>
          <w:sz w:val="32"/>
          <w:szCs w:val="32"/>
          <w:shd w:val="clear" w:color="auto" w:fill="FFFFFF"/>
        </w:rPr>
        <w:t>院领导包案办理首次信访案件</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件</w:t>
      </w:r>
      <w:r>
        <w:rPr>
          <w:rFonts w:hint="eastAsia" w:ascii="仿宋_GB2312" w:hAnsi="仿宋_GB2312" w:eastAsia="仿宋_GB2312" w:cs="仿宋_GB2312"/>
          <w:color w:val="000000"/>
          <w:kern w:val="0"/>
          <w:sz w:val="32"/>
          <w:szCs w:val="32"/>
          <w:highlight w:val="none"/>
          <w:lang w:val="en-US" w:eastAsia="zh-CN" w:bidi="ar-SA"/>
        </w:rPr>
        <w:t>。积极探索“支持起诉+执行监督”“支持起诉+多元调解”工作模</w:t>
      </w:r>
      <w:r>
        <w:rPr>
          <w:rFonts w:hint="eastAsia" w:ascii="仿宋_GB2312" w:hAnsi="仿宋_GB2312" w:eastAsia="仿宋_GB2312" w:cs="仿宋_GB2312"/>
          <w:color w:val="auto"/>
          <w:kern w:val="0"/>
          <w:sz w:val="32"/>
          <w:szCs w:val="32"/>
          <w:highlight w:val="none"/>
          <w:lang w:val="en-US" w:eastAsia="zh-CN" w:bidi="ar-SA"/>
        </w:rPr>
        <w:t>式，</w:t>
      </w:r>
      <w:r>
        <w:rPr>
          <w:rFonts w:hint="eastAsia" w:ascii="仿宋_GB2312" w:hAnsi="仿宋_GB2312" w:eastAsia="仿宋_GB2312" w:cs="仿宋_GB2312"/>
          <w:color w:val="000000"/>
          <w:kern w:val="0"/>
          <w:sz w:val="32"/>
          <w:szCs w:val="32"/>
          <w:highlight w:val="none"/>
          <w:lang w:eastAsia="zh-CN"/>
        </w:rPr>
        <w:t>切实维护弱势群体合法权益，办理支持起诉案件49件，</w:t>
      </w:r>
      <w:r>
        <w:rPr>
          <w:rFonts w:hint="eastAsia" w:ascii="仿宋_GB2312" w:hAnsi="仿宋_GB2312" w:eastAsia="仿宋_GB2312" w:cs="仿宋_GB2312"/>
          <w:color w:val="000000"/>
          <w:kern w:val="0"/>
          <w:sz w:val="32"/>
          <w:szCs w:val="32"/>
          <w:highlight w:val="none"/>
          <w:lang w:val="en-US" w:eastAsia="zh-CN"/>
        </w:rPr>
        <w:t>为49</w:t>
      </w:r>
      <w:r>
        <w:rPr>
          <w:rFonts w:hint="eastAsia" w:ascii="仿宋_GB2312" w:hAnsi="仿宋_GB2312" w:eastAsia="仿宋_GB2312" w:cs="仿宋_GB2312"/>
          <w:color w:val="000000"/>
          <w:kern w:val="0"/>
          <w:sz w:val="32"/>
          <w:szCs w:val="32"/>
          <w:highlight w:val="none"/>
          <w:lang w:eastAsia="zh-CN"/>
        </w:rPr>
        <w:t xml:space="preserve">名农民工追讨欠薪 </w:t>
      </w: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lang w:eastAsia="zh-CN"/>
        </w:rPr>
        <w:t>0余万元。</w:t>
      </w:r>
    </w:p>
    <w:p w14:paraId="6F502C95">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四、依法能动履职为法治担当</w:t>
      </w:r>
    </w:p>
    <w:p w14:paraId="6F973A74">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楷体" w:hAnsi="楷体" w:eastAsia="楷体" w:cs="楷体"/>
          <w:b w:val="0"/>
          <w:bCs w:val="0"/>
          <w:spacing w:val="0"/>
          <w:sz w:val="32"/>
          <w:szCs w:val="32"/>
          <w:lang w:val="en-US" w:eastAsia="zh-CN"/>
        </w:rPr>
        <w:t>刑事检察更加有力</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color w:val="auto"/>
          <w:kern w:val="0"/>
          <w:sz w:val="32"/>
          <w:szCs w:val="32"/>
          <w:highlight w:val="none"/>
          <w:lang w:val="en-US" w:eastAsia="zh-CN" w:bidi="ar-SA"/>
        </w:rPr>
        <w:t>发挥侦查监督与协作配合办公室的作用，提前介入引导侦查90次，监督立案6件，监督撤案4件，纠正漏捕3人，纠正遗漏罪行4人，对侦查活动提出监督意见30件，提出抗诉2件。</w:t>
      </w:r>
      <w:r>
        <w:rPr>
          <w:rFonts w:hint="eastAsia" w:ascii="仿宋_GB2312" w:hAnsi="仿宋_GB2312" w:eastAsia="仿宋_GB2312" w:cs="仿宋_GB2312"/>
          <w:color w:val="auto"/>
          <w:spacing w:val="0"/>
          <w:sz w:val="32"/>
          <w:szCs w:val="32"/>
          <w:lang w:val="en-US" w:eastAsia="zh-CN"/>
        </w:rPr>
        <w:t>对7件轻微刑事案件，</w:t>
      </w:r>
      <w:r>
        <w:rPr>
          <w:rFonts w:ascii="仿宋_GB2312" w:hAnsi="宋体" w:eastAsia="仿宋_GB2312" w:cs="仿宋_GB2312"/>
          <w:i w:val="0"/>
          <w:iCs w:val="0"/>
          <w:caps w:val="0"/>
          <w:color w:val="auto"/>
          <w:spacing w:val="0"/>
          <w:sz w:val="32"/>
          <w:szCs w:val="32"/>
          <w:shd w:val="clear" w:color="auto" w:fill="FFFFFF"/>
        </w:rPr>
        <w:t>适用赔偿保证金提存制度</w:t>
      </w:r>
      <w:r>
        <w:rPr>
          <w:rFonts w:hint="default" w:ascii="Calibri" w:hAnsi="Calibri" w:eastAsia="仿宋_GB2312" w:cs="Calibri"/>
          <w:i w:val="0"/>
          <w:iCs w:val="0"/>
          <w:caps w:val="0"/>
          <w:color w:val="auto"/>
          <w:spacing w:val="0"/>
          <w:sz w:val="32"/>
          <w:szCs w:val="32"/>
          <w:shd w:val="clear" w:color="auto" w:fill="FFFFFF"/>
          <w:vertAlign w:val="superscript"/>
        </w:rPr>
        <w:t>④</w:t>
      </w:r>
      <w:r>
        <w:rPr>
          <w:rFonts w:hint="eastAsia" w:ascii="仿宋_GB2312" w:hAnsi="仿宋_GB2312" w:eastAsia="仿宋_GB2312" w:cs="仿宋_GB2312"/>
          <w:color w:val="auto"/>
          <w:spacing w:val="0"/>
          <w:sz w:val="32"/>
          <w:szCs w:val="32"/>
          <w:lang w:val="en-US" w:eastAsia="zh-CN"/>
        </w:rPr>
        <w:t>，回应轻微刑事案件中矛盾纠纷化解的现实需求。</w:t>
      </w:r>
    </w:p>
    <w:p w14:paraId="3744F2CE">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b w:val="0"/>
          <w:bCs w:val="0"/>
          <w:spacing w:val="0"/>
          <w:sz w:val="32"/>
          <w:szCs w:val="32"/>
          <w:lang w:val="en-US" w:eastAsia="zh-CN"/>
        </w:rPr>
        <w:t>刑事执行检察更加深入</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针对看守所混押混管及社矫人员脱管漏管问题，发出违法纠正通知书11份，监督收监执行4人，办理重大案件侦查终结讯问合法性核查4件19人。探索“派驻+巡回”工作模式，成立巡回检察组对看守所开展常规巡回检察，发现并纠正看守所监管执法及刑罚执行问题4个，检察监督履职问题2个。</w:t>
      </w:r>
    </w:p>
    <w:p w14:paraId="74E5B218">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寰蒋闆呴粦"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cs="楷体"/>
          <w:b w:val="0"/>
          <w:bCs w:val="0"/>
          <w:spacing w:val="0"/>
          <w:sz w:val="32"/>
          <w:szCs w:val="32"/>
          <w:lang w:val="en-US" w:eastAsia="zh-CN"/>
        </w:rPr>
        <w:t>民事行政检察更加精准</w:t>
      </w:r>
      <w:r>
        <w:rPr>
          <w:rFonts w:hint="eastAsia" w:ascii="仿宋_GB2312" w:hAnsi="仿宋_GB2312" w:eastAsia="仿宋_GB2312" w:cs="仿宋_GB2312"/>
          <w:b/>
          <w:bCs/>
          <w:spacing w:val="0"/>
          <w:sz w:val="32"/>
          <w:szCs w:val="32"/>
          <w:lang w:val="en-US" w:eastAsia="zh-CN"/>
        </w:rPr>
        <w:t>。</w:t>
      </w:r>
      <w:r>
        <w:rPr>
          <w:rFonts w:hint="eastAsia" w:ascii="仿宋_GB2312" w:hAnsi="寰蒋闆呴粦" w:eastAsia="仿宋_GB2312" w:cs="仿宋_GB2312"/>
          <w:i w:val="0"/>
          <w:iCs w:val="0"/>
          <w:caps w:val="0"/>
          <w:color w:val="000000"/>
          <w:spacing w:val="0"/>
          <w:sz w:val="32"/>
          <w:szCs w:val="32"/>
          <w:shd w:val="clear" w:color="auto" w:fill="FFFFFF"/>
          <w:lang w:eastAsia="zh-CN"/>
        </w:rPr>
        <w:t>树立精准监督理念，强化对审判程序和执行活动的监督，办理民事检察案件</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56</w:t>
      </w:r>
      <w:r>
        <w:rPr>
          <w:rFonts w:hint="eastAsia" w:ascii="仿宋_GB2312" w:hAnsi="寰蒋闆呴粦" w:eastAsia="仿宋_GB2312" w:cs="仿宋_GB2312"/>
          <w:i w:val="0"/>
          <w:iCs w:val="0"/>
          <w:caps w:val="0"/>
          <w:color w:val="000000"/>
          <w:spacing w:val="0"/>
          <w:sz w:val="32"/>
          <w:szCs w:val="32"/>
          <w:shd w:val="clear" w:color="auto" w:fill="FFFFFF"/>
          <w:lang w:eastAsia="zh-CN"/>
        </w:rPr>
        <w:t>件，实现检察监督覆盖诉讼全过程，切实保障当事人合法权益，其中办理支持起诉案件49件，依法保障弱势群体起诉权利。全面深化行政检察监督，帮助化解事关民生民利的行政争议，办理行政争议实质性化解案件10件，努力实现案结事了政和。</w:t>
      </w:r>
    </w:p>
    <w:p w14:paraId="5D406EF1">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寰蒋闆呴粦"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cs="楷体"/>
          <w:b w:val="0"/>
          <w:bCs w:val="0"/>
          <w:spacing w:val="0"/>
          <w:sz w:val="32"/>
          <w:szCs w:val="32"/>
          <w:lang w:val="en-US" w:eastAsia="zh-CN"/>
        </w:rPr>
        <w:t>公益诉讼检察更加高效</w:t>
      </w:r>
      <w:r>
        <w:rPr>
          <w:rFonts w:hint="eastAsia" w:ascii="仿宋_GB2312" w:hAnsi="仿宋_GB2312" w:eastAsia="仿宋_GB2312" w:cs="仿宋_GB2312"/>
          <w:b/>
          <w:bCs/>
          <w:spacing w:val="0"/>
          <w:sz w:val="32"/>
          <w:szCs w:val="32"/>
          <w:lang w:val="en-US" w:eastAsia="zh-CN"/>
        </w:rPr>
        <w:t>。</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认真履行“公益诉讼代表”职责，办理各类公益诉讼案件54件，实现生态环境和资源保护、食品药品、国土国财、英烈保护等法定领域全覆盖，办理</w:t>
      </w:r>
      <w:r>
        <w:rPr>
          <w:rFonts w:hint="eastAsia" w:ascii="仿宋_GB2312" w:hAnsi="仿宋_GB2312" w:eastAsia="仿宋_GB2312" w:cs="仿宋_GB2312"/>
          <w:color w:val="auto"/>
          <w:kern w:val="2"/>
          <w:sz w:val="32"/>
          <w:szCs w:val="32"/>
          <w:highlight w:val="none"/>
          <w:shd w:val="clear" w:color="auto" w:fill="FFFFFF"/>
          <w:lang w:val="en-US" w:eastAsia="zh-CN" w:bidi="ar-SA"/>
        </w:rPr>
        <w:t>聂某某等9人污染环境一案过程中，在对聂某某等9人提起公诉的同时，对污染环境造成67.49万元损失依法提起刑事附带民事公益诉讼，全部得到法院支持。</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积极开展“公益诉讼江西行”专项活动，围绕“守住耕地红线”主题，办理耕地保护类案件14件，发出诉前检察建议6份；结合全省“废弃矿山治理”工作要求，办理废弃矿山治理领域案件2件。</w:t>
      </w:r>
    </w:p>
    <w:p w14:paraId="3A5890F7">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寰蒋闆呴粦"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cs="楷体"/>
          <w:b w:val="0"/>
          <w:bCs w:val="0"/>
          <w:spacing w:val="0"/>
          <w:sz w:val="32"/>
          <w:szCs w:val="32"/>
          <w:lang w:val="en-US" w:eastAsia="zh-CN"/>
        </w:rPr>
        <w:t>探索数字检察赋能监督</w:t>
      </w:r>
      <w:r>
        <w:rPr>
          <w:rFonts w:hint="eastAsia" w:ascii="仿宋_GB2312" w:hAnsi="仿宋_GB2312" w:eastAsia="仿宋_GB2312" w:cs="仿宋_GB2312"/>
          <w:b/>
          <w:bCs/>
          <w:spacing w:val="0"/>
          <w:sz w:val="32"/>
          <w:szCs w:val="32"/>
          <w:lang w:val="en-US" w:eastAsia="zh-CN"/>
        </w:rPr>
        <w:t>。</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秉持“数字赋能监督、监督促进治理”理念，坚持“业务主导、数据整合、技术支撑、重在应用”，把数字检察</w:t>
      </w:r>
      <w:r>
        <w:rPr>
          <w:rFonts w:hint="default" w:ascii="Calibri" w:hAnsi="Calibri" w:eastAsia="微软雅黑" w:cs="Calibri"/>
          <w:i w:val="0"/>
          <w:iCs w:val="0"/>
          <w:caps w:val="0"/>
          <w:color w:val="000000"/>
          <w:spacing w:val="0"/>
          <w:sz w:val="32"/>
          <w:szCs w:val="32"/>
          <w:shd w:val="clear" w:color="auto" w:fill="FFFFFF"/>
          <w:vertAlign w:val="superscript"/>
          <w:lang w:val="en-US" w:eastAsia="zh-CN"/>
        </w:rPr>
        <w:t>⑤</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作为一项前瞻性基础性工作提上议事日程，成立数字检察工作领导小组，统筹调度，创设法律监督模型6个，激活检察业务系统内部“沉睡数据”，获取数据3500余条，并应用赋能监督办案，经数据碰撞，已监督成案36件。</w:t>
      </w:r>
    </w:p>
    <w:p w14:paraId="465358E6">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五、固本培元夯实检察发展根基</w:t>
      </w:r>
    </w:p>
    <w:p w14:paraId="7A74297F">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Style w:val="12"/>
          <w:rFonts w:hint="eastAsia" w:ascii="仿宋" w:hAnsi="仿宋" w:eastAsia="仿宋" w:cs="仿宋"/>
          <w:b w:val="0"/>
          <w:bCs/>
          <w:sz w:val="32"/>
          <w:szCs w:val="32"/>
          <w:lang w:val="en-US" w:eastAsia="zh-CN"/>
        </w:rPr>
      </w:pPr>
      <w:r>
        <w:rPr>
          <w:rFonts w:hint="eastAsia" w:ascii="楷体" w:hAnsi="楷体" w:eastAsia="楷体" w:cs="楷体"/>
          <w:b w:val="0"/>
          <w:bCs w:val="0"/>
          <w:spacing w:val="0"/>
          <w:sz w:val="32"/>
          <w:szCs w:val="32"/>
          <w:lang w:val="en-US" w:eastAsia="zh-CN"/>
        </w:rPr>
        <w:t>压实从严管党治检责任</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sz w:val="32"/>
          <w:szCs w:val="32"/>
        </w:rPr>
        <w:t>党组专题研究全面从严治党工作，常态化开展警示教育，</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组织新任职干部和新进人员进行党风廉政知识考试，对11名年轻干警开展廉政提醒谈话。</w:t>
      </w:r>
      <w:r>
        <w:rPr>
          <w:rFonts w:hint="eastAsia" w:ascii="仿宋_GB2312" w:hAnsi="仿宋_GB2312" w:eastAsia="仿宋_GB2312" w:cs="仿宋_GB2312"/>
          <w:b w:val="0"/>
          <w:bCs w:val="0"/>
          <w:spacing w:val="0"/>
          <w:kern w:val="2"/>
          <w:sz w:val="32"/>
          <w:szCs w:val="32"/>
          <w:lang w:val="en-US" w:eastAsia="zh-CN" w:bidi="ar-SA"/>
        </w:rPr>
        <w:t>持续深化落实中央八项规定，加强对检察权运行的监督制约。持之以恒抓好干预司法“三个规定”落实，做实“逢问必录”。</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强化素能管理，</w:t>
      </w:r>
      <w:r>
        <w:rPr>
          <w:rStyle w:val="12"/>
          <w:rFonts w:hint="eastAsia" w:ascii="仿宋" w:hAnsi="仿宋" w:eastAsia="仿宋" w:cs="仿宋"/>
          <w:b w:val="0"/>
          <w:bCs/>
          <w:sz w:val="32"/>
          <w:szCs w:val="32"/>
          <w:lang w:eastAsia="zh-CN"/>
        </w:rPr>
        <w:t>抓实《干部日常监督预警管理办法（试行）》的</w:t>
      </w:r>
      <w:r>
        <w:rPr>
          <w:rStyle w:val="12"/>
          <w:rFonts w:hint="eastAsia" w:ascii="仿宋" w:hAnsi="仿宋" w:eastAsia="仿宋" w:cs="仿宋"/>
          <w:b w:val="0"/>
          <w:bCs/>
          <w:sz w:val="32"/>
          <w:szCs w:val="32"/>
          <w:lang w:val="en-US" w:eastAsia="zh-CN"/>
        </w:rPr>
        <w:t>执行</w:t>
      </w:r>
      <w:r>
        <w:rPr>
          <w:rStyle w:val="12"/>
          <w:rFonts w:hint="eastAsia" w:ascii="仿宋" w:hAnsi="仿宋" w:eastAsia="仿宋" w:cs="仿宋"/>
          <w:b w:val="0"/>
          <w:bCs/>
          <w:sz w:val="32"/>
          <w:szCs w:val="32"/>
          <w:lang w:eastAsia="zh-CN"/>
        </w:rPr>
        <w:t>落实，对工作责任心不强干警赋黄牌</w:t>
      </w:r>
      <w:r>
        <w:rPr>
          <w:rStyle w:val="12"/>
          <w:rFonts w:hint="eastAsia" w:ascii="仿宋" w:hAnsi="仿宋" w:eastAsia="仿宋" w:cs="仿宋"/>
          <w:b w:val="0"/>
          <w:bCs/>
          <w:sz w:val="32"/>
          <w:szCs w:val="32"/>
          <w:lang w:val="en-US" w:eastAsia="zh-CN"/>
        </w:rPr>
        <w:t>2人次。</w:t>
      </w:r>
    </w:p>
    <w:p w14:paraId="6492BE55">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寰蒋闆呴粦"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cs="楷体"/>
          <w:b w:val="0"/>
          <w:bCs w:val="0"/>
          <w:spacing w:val="0"/>
          <w:sz w:val="32"/>
          <w:szCs w:val="32"/>
          <w:lang w:val="en-US" w:eastAsia="zh-CN"/>
        </w:rPr>
        <w:t>注重队伍素能提升</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color w:val="000000"/>
          <w:sz w:val="32"/>
          <w:szCs w:val="32"/>
        </w:rPr>
        <w:t>坚持把素能建设放</w:t>
      </w:r>
      <w:r>
        <w:rPr>
          <w:rFonts w:hint="eastAsia" w:ascii="仿宋_GB2312" w:hAnsi="仿宋_GB2312" w:eastAsia="仿宋_GB2312" w:cs="仿宋_GB2312"/>
          <w:color w:val="000000"/>
          <w:sz w:val="32"/>
          <w:szCs w:val="32"/>
          <w:lang w:eastAsia="zh-CN"/>
        </w:rPr>
        <w:t>摆</w:t>
      </w:r>
      <w:r>
        <w:rPr>
          <w:rFonts w:hint="eastAsia" w:ascii="仿宋_GB2312" w:hAnsi="仿宋_GB2312" w:eastAsia="仿宋_GB2312" w:cs="仿宋_GB2312"/>
          <w:color w:val="000000"/>
          <w:sz w:val="32"/>
          <w:szCs w:val="32"/>
        </w:rPr>
        <w:t>在突出位置</w:t>
      </w:r>
      <w:r>
        <w:rPr>
          <w:rFonts w:hint="eastAsia" w:ascii="仿宋_GB2312" w:hAnsi="仿宋_GB2312" w:eastAsia="仿宋_GB2312" w:cs="仿宋_GB2312"/>
          <w:color w:val="000000"/>
          <w:sz w:val="32"/>
          <w:szCs w:val="32"/>
          <w:lang w:eastAsia="zh-CN"/>
        </w:rPr>
        <w:t>，强化岗位实战练兵，大胆启用年轻</w:t>
      </w:r>
      <w:r>
        <w:rPr>
          <w:rFonts w:hint="eastAsia" w:ascii="仿宋_GB2312" w:hAnsi="仿宋_GB2312" w:eastAsia="仿宋_GB2312" w:cs="仿宋_GB2312"/>
          <w:color w:val="000000"/>
          <w:sz w:val="32"/>
          <w:szCs w:val="32"/>
        </w:rPr>
        <w:t>干警</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参加全市诉辩大赛，并在初赛中取得第三名的好成绩。学习借鉴先进经验做法，</w:t>
      </w:r>
      <w:r>
        <w:rPr>
          <w:rFonts w:hint="eastAsia" w:ascii="仿宋_GB2312" w:hAnsi="仿宋_GB2312" w:eastAsia="仿宋_GB2312" w:cs="仿宋_GB2312"/>
          <w:color w:val="000000"/>
          <w:sz w:val="32"/>
          <w:szCs w:val="32"/>
          <w:lang w:eastAsia="zh-CN"/>
        </w:rPr>
        <w:t>组队到全国先进基层检察院景德镇珠山区检察院学习考察，对标先进，开阔视野。</w:t>
      </w:r>
      <w:r>
        <w:rPr>
          <w:rFonts w:hint="eastAsia" w:ascii="仿宋_GB2312" w:hAnsi="仿宋_GB2312" w:eastAsia="仿宋_GB2312" w:cs="仿宋_GB2312"/>
          <w:color w:val="000000"/>
          <w:sz w:val="32"/>
          <w:szCs w:val="32"/>
        </w:rPr>
        <w:t>挖掘激发内生动力,</w:t>
      </w:r>
      <w:r>
        <w:rPr>
          <w:rFonts w:hint="eastAsia" w:ascii="仿宋_GB2312" w:hAnsi="寰蒋闆呴粦" w:eastAsia="仿宋_GB2312" w:cs="仿宋_GB2312"/>
          <w:i w:val="0"/>
          <w:iCs w:val="0"/>
          <w:caps w:val="0"/>
          <w:color w:val="000000"/>
          <w:spacing w:val="0"/>
          <w:sz w:val="32"/>
          <w:szCs w:val="32"/>
          <w:shd w:val="clear" w:color="auto" w:fill="FFFFFF"/>
          <w:lang w:val="en-US" w:eastAsia="zh-CN"/>
        </w:rPr>
        <w:t>树立正确选人用人导向，推荐提拔配齐党组副书记、分管日常工作副检察长，2名干警晋升为四级高级检察官，6名年轻干警被提拔为中层正副职。</w:t>
      </w:r>
    </w:p>
    <w:p w14:paraId="4F1BC1FD">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pacing w:val="0"/>
          <w:sz w:val="32"/>
          <w:szCs w:val="32"/>
          <w:lang w:val="en-US" w:eastAsia="zh-CN"/>
        </w:rPr>
        <w:t>以公开促检察权规范运行</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color w:val="000000"/>
          <w:sz w:val="32"/>
          <w:szCs w:val="32"/>
        </w:rPr>
        <w:t>邀请听证员、人民监督员</w:t>
      </w:r>
      <w:r>
        <w:rPr>
          <w:rFonts w:hint="eastAsia" w:ascii="仿宋_GB2312" w:hAnsi="仿宋_GB2312" w:eastAsia="仿宋_GB2312" w:cs="仿宋_GB2312"/>
          <w:sz w:val="32"/>
          <w:szCs w:val="32"/>
        </w:rPr>
        <w:t>参加检</w:t>
      </w:r>
      <w:r>
        <w:rPr>
          <w:rFonts w:hint="eastAsia" w:ascii="仿宋_GB2312" w:hAnsi="仿宋_GB2312" w:eastAsia="仿宋_GB2312" w:cs="仿宋_GB2312"/>
          <w:color w:val="000000"/>
          <w:sz w:val="32"/>
          <w:szCs w:val="32"/>
        </w:rPr>
        <w:t>察听证</w:t>
      </w:r>
      <w:r>
        <w:rPr>
          <w:rFonts w:hint="eastAsia" w:ascii="仿宋_GB2312" w:hAnsi="仿宋_GB2312" w:eastAsia="仿宋_GB2312" w:cs="仿宋_GB2312"/>
          <w:color w:val="000000"/>
          <w:sz w:val="32"/>
          <w:szCs w:val="32"/>
          <w:lang w:val="en-US" w:eastAsia="zh-CN"/>
        </w:rPr>
        <w:t>180余</w:t>
      </w:r>
      <w:r>
        <w:rPr>
          <w:rFonts w:hint="eastAsia" w:ascii="仿宋_GB2312" w:hAnsi="仿宋_GB2312" w:eastAsia="仿宋_GB2312" w:cs="仿宋_GB2312"/>
          <w:color w:val="000000"/>
          <w:sz w:val="32"/>
          <w:szCs w:val="32"/>
        </w:rPr>
        <w:t>件次</w:t>
      </w:r>
      <w:r>
        <w:rPr>
          <w:rFonts w:hint="eastAsia" w:ascii="仿宋_GB2312" w:hAnsi="仿宋_GB2312" w:eastAsia="仿宋_GB2312" w:cs="仿宋_GB2312"/>
          <w:color w:val="000000"/>
          <w:sz w:val="32"/>
          <w:szCs w:val="32"/>
          <w:lang w:val="en-US" w:eastAsia="zh-CN"/>
        </w:rPr>
        <w:t>,其中上门听证3件次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依法保障律师执</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权利，</w:t>
      </w:r>
      <w:r>
        <w:rPr>
          <w:rFonts w:hint="eastAsia" w:ascii="仿宋_GB2312" w:hAnsi="仿宋_GB2312" w:eastAsia="仿宋_GB2312" w:cs="仿宋_GB2312"/>
          <w:sz w:val="32"/>
          <w:szCs w:val="32"/>
          <w:lang w:eastAsia="zh-CN"/>
        </w:rPr>
        <w:t>主动走访律师事务所，</w:t>
      </w:r>
      <w:r>
        <w:rPr>
          <w:rFonts w:hint="eastAsia" w:ascii="仿宋_GB2312" w:eastAsia="仿宋_GB2312"/>
          <w:sz w:val="32"/>
          <w:szCs w:val="32"/>
        </w:rPr>
        <w:t>召开检律会商会，</w:t>
      </w:r>
      <w:r>
        <w:rPr>
          <w:rFonts w:hint="eastAsia" w:ascii="仿宋_GB2312" w:eastAsia="仿宋_GB2312"/>
          <w:sz w:val="32"/>
          <w:szCs w:val="32"/>
          <w:lang w:eastAsia="zh-CN"/>
        </w:rPr>
        <w:t>听取意见建议，</w:t>
      </w:r>
      <w:r>
        <w:rPr>
          <w:rFonts w:hint="eastAsia" w:ascii="仿宋_GB2312" w:eastAsia="仿宋_GB2312"/>
          <w:sz w:val="32"/>
          <w:szCs w:val="32"/>
        </w:rPr>
        <w:t>构建规范有序的检律关系。</w:t>
      </w:r>
      <w:r>
        <w:rPr>
          <w:rFonts w:hint="eastAsia" w:ascii="仿宋_GB2312" w:hAnsi="仿宋_GB2312" w:eastAsia="仿宋_GB2312" w:cs="仿宋_GB2312"/>
          <w:sz w:val="32"/>
          <w:szCs w:val="32"/>
        </w:rPr>
        <w:t>举办新闻发布会，向社会公布</w:t>
      </w:r>
      <w:r>
        <w:rPr>
          <w:rFonts w:hint="eastAsia" w:ascii="仿宋_GB2312" w:hAnsi="仿宋_GB2312" w:eastAsia="仿宋_GB2312" w:cs="仿宋_GB2312"/>
          <w:sz w:val="32"/>
          <w:szCs w:val="32"/>
          <w:lang w:eastAsia="zh-CN"/>
        </w:rPr>
        <w:t>未成年检察</w:t>
      </w:r>
      <w:r>
        <w:rPr>
          <w:rFonts w:hint="eastAsia" w:ascii="仿宋_GB2312" w:hAnsi="仿宋_GB2312" w:eastAsia="仿宋_GB2312" w:cs="仿宋_GB2312"/>
          <w:sz w:val="32"/>
          <w:szCs w:val="32"/>
        </w:rPr>
        <w:t>工作情况。讲好检察故事，通过“两微一端”发布原创作品</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余篇，</w:t>
      </w:r>
      <w:r>
        <w:rPr>
          <w:rFonts w:hint="eastAsia" w:ascii="仿宋_GB2312" w:hAnsi="仿宋_GB2312" w:eastAsia="仿宋_GB2312" w:cs="仿宋_GB2312"/>
          <w:sz w:val="32"/>
          <w:szCs w:val="32"/>
          <w:lang w:eastAsia="zh-CN"/>
        </w:rPr>
        <w:t>其中市级以上上稿</w:t>
      </w:r>
      <w:r>
        <w:rPr>
          <w:rFonts w:hint="eastAsia" w:ascii="仿宋_GB2312" w:hAnsi="仿宋_GB2312" w:eastAsia="仿宋_GB2312" w:cs="仿宋_GB2312"/>
          <w:sz w:val="32"/>
          <w:szCs w:val="32"/>
          <w:lang w:val="en-US" w:eastAsia="zh-CN"/>
        </w:rPr>
        <w:t>46篇</w:t>
      </w:r>
      <w:r>
        <w:rPr>
          <w:rFonts w:hint="eastAsia" w:ascii="仿宋_GB2312" w:hAnsi="仿宋_GB2312" w:eastAsia="仿宋_GB2312" w:cs="仿宋_GB2312"/>
          <w:sz w:val="32"/>
          <w:szCs w:val="32"/>
        </w:rPr>
        <w:t>，传播检察好声音，传递法治正能量。</w:t>
      </w:r>
    </w:p>
    <w:p w14:paraId="54F8E734">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lang w:val="en-US" w:eastAsia="zh-CN"/>
        </w:rPr>
        <w:t>2023年</w:t>
      </w:r>
      <w:r>
        <w:rPr>
          <w:rFonts w:hint="eastAsia" w:ascii="仿宋_GB2312" w:hAnsi="仿宋_GB2312" w:eastAsia="仿宋_GB2312" w:cs="仿宋_GB2312"/>
          <w:b w:val="0"/>
          <w:bCs w:val="0"/>
          <w:color w:val="000000"/>
          <w:spacing w:val="8"/>
          <w:sz w:val="32"/>
          <w:szCs w:val="32"/>
          <w:lang w:val="en-US" w:eastAsia="zh-CN"/>
        </w:rPr>
        <w:t>，新干检察工作取得的新成效，呈现的新气象，</w:t>
      </w:r>
      <w:r>
        <w:rPr>
          <w:rFonts w:hint="eastAsia" w:ascii="仿宋_GB2312" w:hAnsi="Calibri" w:eastAsia="仿宋_GB2312"/>
          <w:color w:val="000000"/>
          <w:sz w:val="32"/>
          <w:szCs w:val="32"/>
        </w:rPr>
        <w:t>得益于县委和上级检察院的正确领导</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县人大及其常委会的有力监督，</w:t>
      </w:r>
      <w:r>
        <w:rPr>
          <w:rFonts w:hint="eastAsia" w:ascii="仿宋_GB2312" w:hAnsi="Calibri" w:eastAsia="仿宋_GB2312"/>
          <w:color w:val="000000"/>
          <w:sz w:val="32"/>
          <w:szCs w:val="32"/>
          <w:lang w:eastAsia="zh-CN"/>
        </w:rPr>
        <w:t>以及</w:t>
      </w:r>
      <w:r>
        <w:rPr>
          <w:rFonts w:hint="eastAsia" w:ascii="仿宋_GB2312" w:hAnsi="Calibri" w:eastAsia="仿宋_GB2312"/>
          <w:color w:val="000000"/>
          <w:sz w:val="32"/>
          <w:szCs w:val="32"/>
        </w:rPr>
        <w:t>县政府、县政协和社会各界的关心支持和帮助。在此，我代表县检察院</w:t>
      </w:r>
      <w:r>
        <w:rPr>
          <w:rFonts w:hint="eastAsia" w:ascii="仿宋_GB2312" w:hAnsi="Calibri" w:eastAsia="仿宋_GB2312"/>
          <w:color w:val="000000"/>
          <w:sz w:val="32"/>
          <w:szCs w:val="32"/>
          <w:lang w:eastAsia="zh-CN"/>
        </w:rPr>
        <w:t>表示</w:t>
      </w:r>
      <w:r>
        <w:rPr>
          <w:rFonts w:hint="eastAsia" w:ascii="仿宋_GB2312" w:hAnsi="Calibri" w:eastAsia="仿宋_GB2312"/>
          <w:color w:val="000000"/>
          <w:sz w:val="32"/>
          <w:szCs w:val="32"/>
        </w:rPr>
        <w:t>衷心的感谢</w:t>
      </w:r>
      <w:r>
        <w:rPr>
          <w:rFonts w:hint="eastAsia" w:ascii="仿宋_GB2312" w:hAnsi="Calibri" w:eastAsia="仿宋_GB2312"/>
          <w:color w:val="000000"/>
          <w:sz w:val="32"/>
          <w:szCs w:val="32"/>
          <w:lang w:eastAsia="zh-CN"/>
        </w:rPr>
        <w:t>，并</w:t>
      </w:r>
      <w:r>
        <w:rPr>
          <w:rFonts w:hint="eastAsia" w:ascii="仿宋_GB2312" w:hAnsi="Calibri" w:eastAsia="仿宋_GB2312"/>
          <w:color w:val="000000"/>
          <w:sz w:val="32"/>
          <w:szCs w:val="32"/>
        </w:rPr>
        <w:t>致以崇高的敬意！</w:t>
      </w:r>
    </w:p>
    <w:p w14:paraId="4EB3D864">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我们更清醒认识到，与党的要求和人民的期望相比，我们工作还存在一些问题和不足：</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一是</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检察干警的整体履职能力、办案水平、作风纪律还不能完全适应新时代检察工作的需要；</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二是</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特色亮点工作还不够多，特别是没有形成可复制可推广的品牌工作和经验做法；</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三是</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数字检察工作存在畏难情绪和等靠要的思想，创建监督模型赋能法律监督质效的意识还待于加强。对上述问题，我们将高度重视，采取有力措施，努力加以解决。</w:t>
      </w:r>
    </w:p>
    <w:p w14:paraId="4288F762">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560" w:lineRule="exact"/>
        <w:ind w:firstLine="2880" w:firstLineChars="9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、2024年工作</w:t>
      </w:r>
      <w:r>
        <w:rPr>
          <w:rFonts w:hint="eastAsia" w:ascii="黑体" w:hAnsi="黑体" w:eastAsia="黑体" w:cs="黑体"/>
          <w:sz w:val="32"/>
          <w:szCs w:val="32"/>
          <w:lang w:eastAsia="zh-CN"/>
        </w:rPr>
        <w:t>思路</w:t>
      </w:r>
    </w:p>
    <w:p w14:paraId="520AF365">
      <w:pPr>
        <w:pBdr>
          <w:bottom w:val="single" w:color="FFFFFF" w:sz="4" w:space="31"/>
        </w:pBdr>
        <w:topLinePunct/>
        <w:autoSpaceDE w:val="0"/>
        <w:snapToGrid w:val="0"/>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kern w:val="0"/>
          <w:sz w:val="32"/>
          <w:szCs w:val="32"/>
          <w:lang w:val="en-US" w:eastAsia="zh-CN"/>
        </w:rPr>
        <w:t>2024年是中华人民共和国成立75周年，</w:t>
      </w:r>
      <w:r>
        <w:rPr>
          <w:rFonts w:hint="eastAsia" w:ascii="仿宋_GB2312" w:hAnsi="仿宋_GB2312" w:eastAsia="仿宋_GB2312" w:cs="仿宋_GB2312"/>
          <w:sz w:val="32"/>
          <w:szCs w:val="32"/>
          <w:lang w:eastAsia="zh-CN"/>
        </w:rPr>
        <w:t>是全省上下大抓落实之年，</w:t>
      </w:r>
      <w:r>
        <w:rPr>
          <w:rFonts w:hint="eastAsia" w:ascii="仿宋" w:hAnsi="仿宋" w:eastAsia="仿宋" w:cs="仿宋"/>
          <w:kern w:val="0"/>
          <w:sz w:val="32"/>
          <w:szCs w:val="32"/>
          <w:lang w:val="en-US" w:eastAsia="zh-CN"/>
        </w:rPr>
        <w:t>我们</w:t>
      </w:r>
      <w:r>
        <w:rPr>
          <w:rFonts w:hint="eastAsia" w:ascii="仿宋" w:hAnsi="仿宋" w:eastAsia="仿宋" w:cs="仿宋"/>
          <w:b w:val="0"/>
          <w:bCs w:val="0"/>
          <w:kern w:val="0"/>
          <w:sz w:val="32"/>
          <w:szCs w:val="32"/>
          <w:lang w:val="en-US" w:eastAsia="zh-CN"/>
        </w:rPr>
        <w:t>将</w:t>
      </w:r>
      <w:r>
        <w:rPr>
          <w:rFonts w:hint="eastAsia" w:ascii="黑体" w:hAnsi="黑体" w:eastAsia="黑体" w:cs="黑体"/>
          <w:b w:val="0"/>
          <w:bCs w:val="0"/>
          <w:kern w:val="0"/>
          <w:sz w:val="32"/>
          <w:szCs w:val="32"/>
          <w:lang w:val="en-US" w:eastAsia="zh-CN"/>
        </w:rPr>
        <w:t>坚持以习近平新时代中国特色社会主义思想为指导，深入学习贯彻党的二十大精神，全面贯彻习近平法治思想和习近平总书记考察江西重要讲话精神，聚焦</w:t>
      </w:r>
      <w:r>
        <w:rPr>
          <w:rFonts w:hint="eastAsia" w:ascii="黑体" w:hAnsi="黑体" w:eastAsia="黑体" w:cs="黑体"/>
          <w:b w:val="0"/>
          <w:bCs w:val="0"/>
          <w:sz w:val="32"/>
          <w:szCs w:val="32"/>
        </w:rPr>
        <w:t>“走在前、勇争先、善作为”工作</w:t>
      </w:r>
      <w:r>
        <w:rPr>
          <w:rFonts w:hint="eastAsia" w:ascii="黑体" w:hAnsi="黑体" w:eastAsia="黑体" w:cs="黑体"/>
          <w:b w:val="0"/>
          <w:bCs w:val="0"/>
          <w:sz w:val="32"/>
          <w:szCs w:val="32"/>
          <w:lang w:eastAsia="zh-CN"/>
        </w:rPr>
        <w:t>要求</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围绕锚定“三区”战略、打好“十大攻坚战”</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sz w:val="32"/>
          <w:szCs w:val="32"/>
        </w:rPr>
        <w:t>突出“高质效办好每一个案件”，</w:t>
      </w:r>
      <w:r>
        <w:rPr>
          <w:rFonts w:hint="eastAsia" w:ascii="黑体" w:hAnsi="黑体" w:eastAsia="黑体" w:cs="黑体"/>
          <w:b w:val="0"/>
          <w:bCs w:val="0"/>
          <w:sz w:val="32"/>
          <w:szCs w:val="32"/>
          <w:lang w:eastAsia="zh-CN"/>
        </w:rPr>
        <w:t>依法</w:t>
      </w:r>
      <w:r>
        <w:rPr>
          <w:rFonts w:hint="eastAsia" w:ascii="黑体" w:hAnsi="黑体" w:eastAsia="黑体" w:cs="黑体"/>
          <w:b w:val="0"/>
          <w:bCs w:val="0"/>
          <w:sz w:val="32"/>
          <w:szCs w:val="32"/>
        </w:rPr>
        <w:t>能动履职</w:t>
      </w:r>
      <w:r>
        <w:rPr>
          <w:rFonts w:hint="eastAsia" w:ascii="黑体" w:hAnsi="黑体" w:eastAsia="黑体" w:cs="黑体"/>
          <w:b w:val="0"/>
          <w:bCs w:val="0"/>
          <w:sz w:val="32"/>
          <w:szCs w:val="32"/>
          <w:lang w:eastAsia="zh-CN"/>
        </w:rPr>
        <w:t>、一体履职、综合履职</w:t>
      </w:r>
      <w:r>
        <w:rPr>
          <w:rFonts w:hint="eastAsia" w:ascii="黑体" w:hAnsi="黑体" w:eastAsia="黑体" w:cs="黑体"/>
          <w:b w:val="0"/>
          <w:bCs w:val="0"/>
          <w:sz w:val="32"/>
          <w:szCs w:val="32"/>
        </w:rPr>
        <w:t>，为</w:t>
      </w:r>
      <w:r>
        <w:rPr>
          <w:rFonts w:hint="eastAsia" w:ascii="黑体" w:hAnsi="黑体" w:eastAsia="黑体" w:cs="黑体"/>
          <w:b w:val="0"/>
          <w:bCs w:val="0"/>
          <w:sz w:val="32"/>
          <w:szCs w:val="32"/>
          <w:lang w:eastAsia="zh-CN"/>
        </w:rPr>
        <w:t>奋力谱写</w:t>
      </w:r>
      <w:r>
        <w:rPr>
          <w:rFonts w:hint="eastAsia" w:ascii="黑体" w:hAnsi="黑体" w:eastAsia="黑体" w:cs="黑体"/>
          <w:b w:val="0"/>
          <w:bCs w:val="0"/>
          <w:sz w:val="32"/>
          <w:szCs w:val="32"/>
        </w:rPr>
        <w:t>中国式现代化新干</w:t>
      </w:r>
      <w:r>
        <w:rPr>
          <w:rFonts w:hint="eastAsia" w:ascii="黑体" w:hAnsi="黑体" w:eastAsia="黑体" w:cs="黑体"/>
          <w:b w:val="0"/>
          <w:bCs w:val="0"/>
          <w:sz w:val="32"/>
          <w:szCs w:val="32"/>
          <w:lang w:eastAsia="zh-CN"/>
        </w:rPr>
        <w:t>篇章展现检察担当和作为</w:t>
      </w:r>
      <w:r>
        <w:rPr>
          <w:rFonts w:hint="eastAsia" w:ascii="黑体" w:hAnsi="黑体" w:eastAsia="黑体" w:cs="黑体"/>
          <w:b w:val="0"/>
          <w:bCs w:val="0"/>
          <w:sz w:val="32"/>
          <w:szCs w:val="32"/>
        </w:rPr>
        <w:t>。</w:t>
      </w:r>
    </w:p>
    <w:p w14:paraId="756D96BF">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楷体" w:hAnsi="楷体" w:eastAsia="楷体" w:cs="楷体"/>
          <w:b w:val="0"/>
          <w:bCs w:val="0"/>
          <w:sz w:val="32"/>
          <w:szCs w:val="32"/>
          <w:highlight w:val="none"/>
          <w:lang w:eastAsia="zh-CN"/>
        </w:rPr>
        <w:t>一是要坚持政治铸魂，答好“绝对忠诚卷”</w:t>
      </w:r>
      <w:r>
        <w:rPr>
          <w:rFonts w:hint="eastAsia" w:ascii="楷体" w:hAnsi="楷体" w:eastAsia="楷体" w:cs="楷体"/>
          <w:b w:val="0"/>
          <w:bCs w:val="0"/>
          <w:sz w:val="32"/>
          <w:szCs w:val="32"/>
          <w:highlight w:val="none"/>
        </w:rPr>
        <w:t>。</w:t>
      </w:r>
      <w:r>
        <w:rPr>
          <w:rFonts w:hint="eastAsia" w:ascii="仿宋_GB2312" w:hAnsi="仿宋_GB2312" w:eastAsia="仿宋_GB2312" w:cs="仿宋_GB2312"/>
          <w:b w:val="0"/>
          <w:bCs w:val="0"/>
          <w:sz w:val="32"/>
          <w:szCs w:val="32"/>
          <w:highlight w:val="none"/>
        </w:rPr>
        <w:t>坚持以习近平新时代中国特色社会主义思想凝心铸魂，巩固拓展主题教育成果，</w:t>
      </w:r>
      <w:r>
        <w:rPr>
          <w:rFonts w:hint="eastAsia" w:ascii="仿宋_GB2312" w:hAnsi="仿宋_GB2312" w:eastAsia="仿宋_GB2312" w:cs="仿宋_GB2312"/>
          <w:b w:val="0"/>
          <w:bCs w:val="0"/>
          <w:sz w:val="32"/>
          <w:szCs w:val="32"/>
        </w:rPr>
        <w:t>把“从政治上看”融入检察履职全过程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各方面，坚决</w:t>
      </w:r>
      <w:r>
        <w:rPr>
          <w:rFonts w:hint="eastAsia" w:ascii="仿宋_GB2312" w:hAnsi="仿宋_GB2312" w:eastAsia="仿宋_GB2312" w:cs="仿宋_GB2312"/>
          <w:b w:val="0"/>
          <w:bCs w:val="0"/>
          <w:sz w:val="32"/>
          <w:szCs w:val="32"/>
          <w:lang w:eastAsia="zh-CN"/>
        </w:rPr>
        <w:t>拥护</w:t>
      </w:r>
      <w:r>
        <w:rPr>
          <w:rFonts w:hint="eastAsia" w:ascii="仿宋_GB2312" w:hAnsi="仿宋_GB2312" w:eastAsia="仿宋_GB2312" w:cs="仿宋_GB2312"/>
          <w:b w:val="0"/>
          <w:bCs w:val="0"/>
          <w:sz w:val="32"/>
          <w:szCs w:val="32"/>
        </w:rPr>
        <w:t>“两个确立”、做到“两个维护”，</w:t>
      </w:r>
      <w:r>
        <w:rPr>
          <w:rFonts w:hint="eastAsia" w:ascii="仿宋_GB2312" w:hAnsi="仿宋_GB2312" w:eastAsia="仿宋_GB2312" w:cs="仿宋_GB2312"/>
          <w:b w:val="0"/>
          <w:bCs w:val="0"/>
          <w:sz w:val="32"/>
          <w:szCs w:val="32"/>
          <w:lang w:eastAsia="zh-CN"/>
        </w:rPr>
        <w:t>严格落实“第一议题”制度，严格执行《中国共产党政法工作条例》</w:t>
      </w:r>
      <w:r>
        <w:rPr>
          <w:rFonts w:hint="eastAsia" w:ascii="仿宋_GB2312" w:hAnsi="仿宋_GB2312" w:eastAsia="仿宋_GB2312" w:cs="仿宋_GB2312"/>
          <w:b w:val="0"/>
          <w:bCs w:val="0"/>
          <w:sz w:val="32"/>
          <w:szCs w:val="32"/>
          <w:highlight w:val="none"/>
          <w:lang w:eastAsia="zh-CN"/>
        </w:rPr>
        <w:t>及省委实施细则，切实把党的领导贯穿检察工作全过程、各方面，</w:t>
      </w:r>
      <w:r>
        <w:rPr>
          <w:rFonts w:hint="eastAsia" w:ascii="仿宋_GB2312" w:hAnsi="仿宋_GB2312" w:eastAsia="仿宋_GB2312" w:cs="仿宋_GB2312"/>
          <w:b w:val="0"/>
          <w:bCs w:val="0"/>
          <w:sz w:val="32"/>
          <w:szCs w:val="32"/>
          <w:lang w:eastAsia="zh-CN"/>
        </w:rPr>
        <w:t>把</w:t>
      </w:r>
      <w:r>
        <w:rPr>
          <w:rFonts w:hint="eastAsia" w:ascii="仿宋_GB2312" w:hAnsi="仿宋_GB2312" w:eastAsia="仿宋_GB2312" w:cs="仿宋_GB2312"/>
          <w:b w:val="0"/>
          <w:bCs w:val="0"/>
          <w:sz w:val="32"/>
          <w:szCs w:val="32"/>
        </w:rPr>
        <w:t>党对检察工作的绝对领导</w:t>
      </w:r>
      <w:r>
        <w:rPr>
          <w:rFonts w:hint="eastAsia" w:ascii="仿宋_GB2312" w:hAnsi="仿宋_GB2312" w:eastAsia="仿宋_GB2312" w:cs="仿宋_GB2312"/>
          <w:b w:val="0"/>
          <w:bCs w:val="0"/>
          <w:sz w:val="32"/>
          <w:szCs w:val="32"/>
          <w:lang w:eastAsia="zh-CN"/>
        </w:rPr>
        <w:t>落到实处</w:t>
      </w:r>
      <w:r>
        <w:rPr>
          <w:rFonts w:hint="eastAsia" w:ascii="仿宋_GB2312" w:hAnsi="仿宋_GB2312" w:eastAsia="仿宋_GB2312" w:cs="仿宋_GB2312"/>
          <w:b/>
          <w:bCs/>
          <w:sz w:val="32"/>
          <w:szCs w:val="32"/>
        </w:rPr>
        <w:t>。</w:t>
      </w:r>
    </w:p>
    <w:p w14:paraId="20B640A0">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楷体_GB2312" w:eastAsia="仿宋_GB2312" w:cs="楷体_GB2312"/>
          <w:sz w:val="32"/>
          <w:szCs w:val="32"/>
        </w:rPr>
      </w:pPr>
      <w:r>
        <w:rPr>
          <w:rFonts w:hint="eastAsia" w:ascii="楷体" w:hAnsi="楷体" w:eastAsia="楷体" w:cs="楷体"/>
          <w:b w:val="0"/>
          <w:bCs w:val="0"/>
          <w:sz w:val="32"/>
          <w:szCs w:val="32"/>
          <w:highlight w:val="none"/>
          <w:lang w:eastAsia="zh-CN"/>
        </w:rPr>
        <w:t>二是要聚焦中心大局，答好“服务发展卷”。</w:t>
      </w:r>
      <w:r>
        <w:rPr>
          <w:rFonts w:hint="eastAsia" w:ascii="仿宋_GB2312" w:hAnsi="楷体_GB2312" w:eastAsia="仿宋_GB2312" w:cs="楷体_GB2312"/>
          <w:b w:val="0"/>
          <w:bCs w:val="0"/>
          <w:sz w:val="32"/>
          <w:szCs w:val="32"/>
          <w:lang w:eastAsia="zh-CN"/>
        </w:rPr>
        <w:t>找准服务保障经济社会发展的切入点和着力点，为大局服务、为人民司法。</w:t>
      </w:r>
      <w:r>
        <w:rPr>
          <w:rFonts w:hint="eastAsia" w:ascii="仿宋_GB2312" w:hAnsi="仿宋_GB2312" w:eastAsia="仿宋_GB2312" w:cs="仿宋_GB2312"/>
          <w:sz w:val="32"/>
          <w:szCs w:val="32"/>
        </w:rPr>
        <w:t>坚决推动</w:t>
      </w:r>
      <w:r>
        <w:rPr>
          <w:rFonts w:hint="eastAsia" w:ascii="仿宋_GB2312" w:hAnsi="仿宋_GB2312" w:eastAsia="仿宋_GB2312" w:cs="仿宋_GB2312"/>
          <w:sz w:val="32"/>
          <w:szCs w:val="32"/>
          <w:lang w:eastAsia="zh-CN"/>
        </w:rPr>
        <w:t>县委各项</w:t>
      </w:r>
      <w:r>
        <w:rPr>
          <w:rFonts w:hint="eastAsia" w:ascii="仿宋_GB2312" w:hAnsi="仿宋_GB2312" w:eastAsia="仿宋_GB2312" w:cs="仿宋_GB2312"/>
          <w:sz w:val="32"/>
          <w:szCs w:val="32"/>
        </w:rPr>
        <w:t>重大决策部署落地落实</w:t>
      </w:r>
      <w:r>
        <w:rPr>
          <w:rFonts w:hint="eastAsia" w:ascii="仿宋_GB2312" w:hAnsi="仿宋_GB2312" w:eastAsia="仿宋_GB2312" w:cs="仿宋_GB2312"/>
          <w:sz w:val="32"/>
          <w:szCs w:val="32"/>
          <w:lang w:eastAsia="zh-CN"/>
        </w:rPr>
        <w:t>，以检察履职助力打好“十大攻坚战”、服务“三区”建设，为新干打造“产业升级示范县、开放发展先行县、生态秀美宜居县”发挥检察职能、贡献检察力量。</w:t>
      </w:r>
    </w:p>
    <w:p w14:paraId="627A7095">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 w:hAnsi="楷体" w:eastAsia="楷体" w:cs="楷体"/>
          <w:b w:val="0"/>
          <w:bCs w:val="0"/>
          <w:sz w:val="32"/>
          <w:szCs w:val="32"/>
          <w:highlight w:val="none"/>
          <w:lang w:eastAsia="zh-CN"/>
        </w:rPr>
        <w:t>三是要坚持人民至上，答好“民生福祉卷”。</w:t>
      </w:r>
      <w:r>
        <w:rPr>
          <w:rFonts w:hint="eastAsia" w:ascii="仿宋_GB2312" w:hAnsi="仿宋_GB2312" w:eastAsia="仿宋_GB2312" w:cs="仿宋_GB2312"/>
          <w:b w:val="0"/>
          <w:bCs w:val="0"/>
          <w:sz w:val="32"/>
          <w:szCs w:val="32"/>
          <w:highlight w:val="none"/>
          <w:lang w:eastAsia="zh-CN"/>
        </w:rPr>
        <w:t>坚持和发展新时代“枫桥经验”“浦江经验”，持续做实群众信访件件有回复、行政争议实质性化解、公开听证、司法救助等检察为民长效机制，</w:t>
      </w:r>
      <w:r>
        <w:rPr>
          <w:rFonts w:hint="eastAsia" w:ascii="仿宋_GB2312" w:hAnsi="仿宋_GB2312" w:eastAsia="仿宋_GB2312" w:cs="仿宋_GB2312"/>
          <w:sz w:val="32"/>
          <w:szCs w:val="32"/>
          <w:highlight w:val="none"/>
        </w:rPr>
        <w:t>深</w:t>
      </w:r>
      <w:r>
        <w:rPr>
          <w:rFonts w:hint="eastAsia" w:ascii="仿宋_GB2312" w:hAnsi="仿宋_GB2312" w:eastAsia="仿宋_GB2312" w:cs="仿宋_GB2312"/>
          <w:sz w:val="32"/>
          <w:szCs w:val="32"/>
          <w:highlight w:val="none"/>
          <w:lang w:eastAsia="zh-CN"/>
        </w:rPr>
        <w:t>入推进</w:t>
      </w:r>
      <w:r>
        <w:rPr>
          <w:rFonts w:hint="eastAsia" w:ascii="仿宋_GB2312" w:hAnsi="仿宋_GB2312" w:eastAsia="仿宋_GB2312" w:cs="仿宋_GB2312"/>
          <w:b w:val="0"/>
          <w:bCs w:val="0"/>
          <w:sz w:val="32"/>
          <w:szCs w:val="32"/>
          <w:lang w:eastAsia="zh-CN"/>
        </w:rPr>
        <w:t>“一乡镇一检察官”</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b w:val="0"/>
          <w:bCs w:val="0"/>
          <w:sz w:val="32"/>
          <w:szCs w:val="32"/>
          <w:highlight w:val="none"/>
          <w:lang w:eastAsia="zh-CN"/>
        </w:rPr>
        <w:t>，推进矛盾纠纷预防化解法治化。加大对农民工讨薪、农村妇女维权、农村老人追索赡养费的民事支持起诉力度，加大对涉农案件困难当事人的司法救助，实实在在办好检察惠民利民实事。</w:t>
      </w:r>
    </w:p>
    <w:p w14:paraId="0416F59F">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val="0"/>
          <w:bCs w:val="0"/>
          <w:sz w:val="32"/>
          <w:szCs w:val="32"/>
          <w:highlight w:val="none"/>
          <w:lang w:eastAsia="zh-CN"/>
        </w:rPr>
        <w:t>四是</w:t>
      </w:r>
      <w:r>
        <w:rPr>
          <w:rFonts w:hint="eastAsia" w:ascii="楷体" w:hAnsi="楷体" w:eastAsia="楷体" w:cs="楷体"/>
          <w:b w:val="0"/>
          <w:bCs w:val="0"/>
          <w:sz w:val="32"/>
          <w:szCs w:val="32"/>
          <w:lang w:eastAsia="zh-CN"/>
        </w:rPr>
        <w:t>深耕</w:t>
      </w:r>
      <w:r>
        <w:rPr>
          <w:rFonts w:hint="eastAsia" w:ascii="楷体" w:hAnsi="楷体" w:eastAsia="楷体" w:cs="楷体"/>
          <w:b w:val="0"/>
          <w:bCs w:val="0"/>
          <w:sz w:val="32"/>
          <w:szCs w:val="32"/>
          <w:highlight w:val="none"/>
        </w:rPr>
        <w:t>主责主业</w:t>
      </w:r>
      <w:r>
        <w:rPr>
          <w:rFonts w:hint="eastAsia" w:ascii="楷体" w:hAnsi="楷体" w:eastAsia="楷体" w:cs="楷体"/>
          <w:b w:val="0"/>
          <w:bCs w:val="0"/>
          <w:sz w:val="32"/>
          <w:szCs w:val="32"/>
          <w:highlight w:val="none"/>
          <w:lang w:eastAsia="zh-CN"/>
        </w:rPr>
        <w:t>，答好“依法履职卷”。</w:t>
      </w:r>
      <w:r>
        <w:rPr>
          <w:rFonts w:hint="eastAsia" w:ascii="仿宋_GB2312" w:hAnsi="仿宋_GB2312" w:eastAsia="仿宋_GB2312" w:cs="仿宋_GB2312"/>
          <w:sz w:val="32"/>
          <w:szCs w:val="32"/>
          <w:highlight w:val="none"/>
        </w:rPr>
        <w:t>突出“高质效办好每一个案件”基本价值追求，统筹落实办理轻微刑事案件“依法少捕慎诉慎押”具体工作要求和认罪认罚从宽制度，</w:t>
      </w:r>
      <w:r>
        <w:rPr>
          <w:rFonts w:hint="eastAsia" w:ascii="仿宋_GB2312" w:hAnsi="仿宋_GB2312" w:eastAsia="仿宋_GB2312" w:cs="仿宋_GB2312"/>
          <w:color w:val="000000"/>
          <w:sz w:val="32"/>
          <w:szCs w:val="32"/>
          <w:lang w:val="en-US" w:eastAsia="zh-CN"/>
        </w:rPr>
        <w:t>切实把好批捕关、起诉关、监督关。</w:t>
      </w:r>
      <w:r>
        <w:rPr>
          <w:rFonts w:hint="eastAsia" w:ascii="仿宋_GB2312" w:hAnsi="仿宋_GB2312" w:eastAsia="仿宋_GB2312" w:cs="仿宋_GB2312"/>
          <w:sz w:val="32"/>
          <w:szCs w:val="32"/>
          <w:highlight w:val="none"/>
        </w:rPr>
        <w:t>深化</w:t>
      </w:r>
      <w:r>
        <w:rPr>
          <w:rFonts w:hint="eastAsia" w:ascii="仿宋_GB2312" w:hAnsi="仿宋_GB2312" w:eastAsia="仿宋_GB2312" w:cs="仿宋_GB2312"/>
          <w:sz w:val="32"/>
          <w:szCs w:val="32"/>
          <w:highlight w:val="none"/>
          <w:lang w:eastAsia="zh-CN"/>
        </w:rPr>
        <w:t>“淦蕾</w:t>
      </w:r>
      <w:r>
        <w:rPr>
          <w:rFonts w:hint="eastAsia" w:ascii="仿宋_GB2312" w:hAnsi="仿宋_GB2312" w:eastAsia="仿宋_GB2312" w:cs="仿宋_GB2312"/>
          <w:sz w:val="32"/>
          <w:szCs w:val="32"/>
          <w:highlight w:val="none"/>
          <w:lang w:val="en-US" w:eastAsia="zh-CN"/>
        </w:rPr>
        <w:t>·未检工作室</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做精做实检察公益诉讼，</w:t>
      </w:r>
      <w:r>
        <w:rPr>
          <w:rFonts w:hint="eastAsia" w:ascii="仿宋_GB2312" w:hAnsi="仿宋_GB2312" w:eastAsia="仿宋_GB2312" w:cs="仿宋_GB2312"/>
          <w:sz w:val="32"/>
          <w:szCs w:val="32"/>
          <w:highlight w:val="none"/>
          <w:lang w:val="en-US" w:eastAsia="zh-CN"/>
        </w:rPr>
        <w:t>聚力</w:t>
      </w:r>
      <w:r>
        <w:rPr>
          <w:rFonts w:hint="eastAsia" w:ascii="仿宋_GB2312" w:hAnsi="仿宋_GB2312" w:eastAsia="仿宋_GB2312" w:cs="仿宋_GB2312"/>
          <w:sz w:val="32"/>
          <w:szCs w:val="32"/>
          <w:highlight w:val="none"/>
        </w:rPr>
        <w:t>打造更具</w:t>
      </w:r>
      <w:r>
        <w:rPr>
          <w:rFonts w:hint="eastAsia" w:ascii="仿宋_GB2312" w:hAnsi="仿宋_GB2312" w:eastAsia="仿宋_GB2312" w:cs="仿宋_GB2312"/>
          <w:sz w:val="32"/>
          <w:szCs w:val="32"/>
          <w:highlight w:val="none"/>
          <w:lang w:eastAsia="zh-CN"/>
        </w:rPr>
        <w:t>影响力的</w:t>
      </w:r>
      <w:r>
        <w:rPr>
          <w:rFonts w:hint="eastAsia" w:ascii="仿宋_GB2312" w:hAnsi="仿宋_GB2312" w:eastAsia="仿宋_GB2312" w:cs="仿宋_GB2312"/>
          <w:sz w:val="32"/>
          <w:szCs w:val="32"/>
          <w:highlight w:val="none"/>
        </w:rPr>
        <w:t>特色品牌工作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lang w:val="en-US" w:eastAsia="zh-CN"/>
        </w:rPr>
        <w:t>积极推进数字检察建设，以数字革命赋能法律监督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lang w:val="en-US" w:eastAsia="zh-CN"/>
        </w:rPr>
        <w:t xml:space="preserve"> </w:t>
      </w:r>
    </w:p>
    <w:p w14:paraId="1C3FABA6">
      <w:pPr>
        <w:keepNext w:val="0"/>
        <w:keepLines w:val="0"/>
        <w:pageBreakBefore w:val="0"/>
        <w:widowControl w:val="0"/>
        <w:numPr>
          <w:ilvl w:val="0"/>
          <w:numId w:val="0"/>
        </w:numPr>
        <w:pBdr>
          <w:bottom w:val="single" w:color="FFFFFF" w:sz="4" w:space="31"/>
        </w:pBdr>
        <w:tabs>
          <w:tab w:val="left" w:pos="720"/>
        </w:tabs>
        <w:kinsoku/>
        <w:wordWrap/>
        <w:overflowPunct/>
        <w:topLinePunct/>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highlight w:val="none"/>
          <w:lang w:eastAsia="zh-CN"/>
        </w:rPr>
        <w:t>五是抓实强基固本，答好“管党治检卷”。</w:t>
      </w:r>
      <w:r>
        <w:rPr>
          <w:rFonts w:hint="eastAsia" w:ascii="仿宋_GB2312" w:hAnsi="仿宋_GB2312" w:eastAsia="仿宋_GB2312" w:cs="仿宋_GB2312"/>
          <w:sz w:val="32"/>
          <w:szCs w:val="32"/>
          <w:highlight w:val="none"/>
          <w:lang w:eastAsia="zh-CN"/>
        </w:rPr>
        <w:t>切实履行全面从严管治检主体责任、第一责任人责任，严格落实“一岗双责”，坚决把纪律规矩挺在前面，管好关键人、管好关键案、管住关键事，知“红线”、筑“防线”、守“底线”。树好廉洁自律的“风向标”，抓班子带队伍，涵养清风正气，营造有为者有位、吃苦者吃香、想干事能干事干成不出事的良好氛围。</w:t>
      </w:r>
    </w:p>
    <w:p w14:paraId="0B3953E4">
      <w:pPr>
        <w:keepNext w:val="0"/>
        <w:keepLines w:val="0"/>
        <w:pageBreakBefore w:val="0"/>
        <w:widowControl w:val="0"/>
        <w:numPr>
          <w:ilvl w:val="0"/>
          <w:numId w:val="0"/>
        </w:numPr>
        <w:pBdr>
          <w:bottom w:val="single" w:color="FFFFFF" w:sz="4" w:space="31"/>
        </w:pBdr>
        <w:tabs>
          <w:tab w:val="left" w:pos="720"/>
        </w:tabs>
        <w:kinsoku/>
        <w:wordWrap/>
        <w:overflowPunct/>
        <w:topLinePunct/>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位代表，盘点旧岁，星光不负赶路人，展望新元，砥砺奋进再出发。新征程上，我们将更加团结在以习近平同志为核心的党中央周围，在县委和上级检察院的坚强领导下，坚决贯彻落实县委决策部署和本次大会决议，把初心落在行动上，把使命扛在肩膀上，把精力放在抓落实上，守正创新、开拓进取，努力呈现新气象，实现新作为，为新干中国式现代化</w:t>
      </w:r>
      <w:r>
        <w:rPr>
          <w:rFonts w:hint="eastAsia" w:ascii="仿宋_GB2312" w:hAnsi="仿宋_GB2312" w:eastAsia="仿宋_GB2312" w:cs="仿宋_GB2312"/>
          <w:color w:val="000000"/>
          <w:sz w:val="32"/>
          <w:szCs w:val="32"/>
          <w:shd w:val="clear" w:color="auto" w:fill="FFFFFF"/>
          <w:lang w:val="en-US" w:eastAsia="zh-CN"/>
        </w:rPr>
        <w:t>建设提供坚强的法治保障</w:t>
      </w:r>
      <w:r>
        <w:rPr>
          <w:rFonts w:hint="eastAsia" w:ascii="仿宋_GB2312" w:hAnsi="仿宋_GB2312" w:eastAsia="仿宋_GB2312" w:cs="仿宋_GB2312"/>
          <w:color w:val="000000"/>
          <w:sz w:val="32"/>
          <w:szCs w:val="32"/>
          <w:shd w:val="clear" w:color="auto" w:fill="FFFFFF"/>
        </w:rPr>
        <w:t>！</w:t>
      </w:r>
    </w:p>
    <w:p w14:paraId="6BD6084C">
      <w:pPr>
        <w:keepNext w:val="0"/>
        <w:keepLines w:val="0"/>
        <w:pageBreakBefore w:val="0"/>
        <w:widowControl w:val="0"/>
        <w:numPr>
          <w:ilvl w:val="0"/>
          <w:numId w:val="0"/>
        </w:numPr>
        <w:pBdr>
          <w:bottom w:val="single" w:color="FFFFFF" w:sz="4" w:space="31"/>
        </w:pBdr>
        <w:tabs>
          <w:tab w:val="left" w:pos="720"/>
        </w:tabs>
        <w:kinsoku/>
        <w:wordWrap/>
        <w:overflowPunct/>
        <w:topLinePunct/>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p>
    <w:p w14:paraId="7B0BE4C0">
      <w:pPr>
        <w:keepNext w:val="0"/>
        <w:keepLines w:val="0"/>
        <w:pageBreakBefore w:val="0"/>
        <w:widowControl w:val="0"/>
        <w:numPr>
          <w:ilvl w:val="0"/>
          <w:numId w:val="0"/>
        </w:numPr>
        <w:pBdr>
          <w:bottom w:val="single" w:color="FFFFFF" w:sz="4" w:space="31"/>
        </w:pBdr>
        <w:tabs>
          <w:tab w:val="left" w:pos="720"/>
        </w:tabs>
        <w:kinsoku/>
        <w:wordWrap/>
        <w:overflowPunct/>
        <w:topLinePunct/>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p>
    <w:p w14:paraId="46F4784A">
      <w:pPr>
        <w:keepNext w:val="0"/>
        <w:keepLines w:val="0"/>
        <w:pageBreakBefore w:val="0"/>
        <w:widowControl w:val="0"/>
        <w:numPr>
          <w:ilvl w:val="0"/>
          <w:numId w:val="0"/>
        </w:numPr>
        <w:pBdr>
          <w:bottom w:val="single" w:color="FFFFFF" w:sz="4" w:space="31"/>
        </w:pBdr>
        <w:tabs>
          <w:tab w:val="left" w:pos="720"/>
        </w:tabs>
        <w:kinsoku/>
        <w:wordWrap/>
        <w:overflowPunct/>
        <w:topLinePunct/>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shd w:val="clear" w:color="auto" w:fill="FFFFFF"/>
          <w:lang w:eastAsia="zh-CN"/>
        </w:rPr>
      </w:pPr>
    </w:p>
    <w:p w14:paraId="10DFD6E2">
      <w:pPr>
        <w:keepNext w:val="0"/>
        <w:keepLines w:val="0"/>
        <w:pageBreakBefore w:val="0"/>
        <w:widowControl w:val="0"/>
        <w:numPr>
          <w:ilvl w:val="0"/>
          <w:numId w:val="0"/>
        </w:numPr>
        <w:pBdr>
          <w:bottom w:val="single" w:color="FFFFFF" w:sz="4" w:space="31"/>
        </w:pBdr>
        <w:tabs>
          <w:tab w:val="left" w:pos="720"/>
        </w:tabs>
        <w:kinsoku/>
        <w:wordWrap/>
        <w:overflowPunct/>
        <w:topLinePunct/>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shd w:val="clear" w:color="auto" w:fill="FFFFFF"/>
          <w:lang w:eastAsia="zh-CN"/>
        </w:rPr>
      </w:pPr>
    </w:p>
    <w:p w14:paraId="0C4D1414">
      <w:pPr>
        <w:keepNext w:val="0"/>
        <w:keepLines w:val="0"/>
        <w:pageBreakBefore w:val="0"/>
        <w:widowControl w:val="0"/>
        <w:numPr>
          <w:ilvl w:val="0"/>
          <w:numId w:val="0"/>
        </w:numPr>
        <w:pBdr>
          <w:bottom w:val="single" w:color="FFFFFF" w:sz="4" w:space="31"/>
        </w:pBdr>
        <w:tabs>
          <w:tab w:val="left" w:pos="720"/>
        </w:tabs>
        <w:kinsoku/>
        <w:wordWrap/>
        <w:overflowPunct/>
        <w:topLinePunct/>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shd w:val="clear" w:color="auto" w:fill="FFFFFF"/>
          <w:lang w:eastAsia="zh-CN"/>
        </w:rPr>
      </w:pPr>
    </w:p>
    <w:p w14:paraId="5327E607">
      <w:pPr>
        <w:keepNext w:val="0"/>
        <w:keepLines w:val="0"/>
        <w:pageBreakBefore w:val="0"/>
        <w:widowControl w:val="0"/>
        <w:numPr>
          <w:ilvl w:val="0"/>
          <w:numId w:val="0"/>
        </w:numPr>
        <w:pBdr>
          <w:bottom w:val="single" w:color="FFFFFF" w:sz="4" w:space="31"/>
        </w:pBdr>
        <w:tabs>
          <w:tab w:val="left" w:pos="720"/>
        </w:tabs>
        <w:kinsoku/>
        <w:wordWrap/>
        <w:overflowPunct/>
        <w:topLinePunct/>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shd w:val="clear" w:color="auto" w:fill="FFFFFF"/>
          <w:lang w:eastAsia="zh-CN"/>
        </w:rPr>
      </w:pPr>
    </w:p>
    <w:p w14:paraId="72C6EA74">
      <w:pPr>
        <w:pBdr>
          <w:bottom w:val="single" w:color="FFFFFF" w:sz="4" w:space="31"/>
        </w:pBdr>
        <w:tabs>
          <w:tab w:val="left" w:pos="720"/>
        </w:tabs>
        <w:topLinePunct/>
        <w:spacing w:line="520" w:lineRule="exact"/>
        <w:rPr>
          <w:rFonts w:hint="eastAsia" w:ascii="黑体" w:eastAsia="黑体"/>
          <w:color w:val="000000"/>
          <w:sz w:val="32"/>
          <w:szCs w:val="32"/>
        </w:rPr>
      </w:pPr>
    </w:p>
    <w:p w14:paraId="07D27F03">
      <w:pPr>
        <w:pBdr>
          <w:bottom w:val="single" w:color="FFFFFF" w:sz="4" w:space="31"/>
        </w:pBdr>
        <w:tabs>
          <w:tab w:val="left" w:pos="720"/>
        </w:tabs>
        <w:topLinePunct/>
        <w:spacing w:line="520" w:lineRule="exact"/>
        <w:rPr>
          <w:rFonts w:hint="eastAsia" w:ascii="黑体" w:eastAsia="黑体"/>
          <w:color w:val="000000"/>
          <w:sz w:val="32"/>
          <w:szCs w:val="32"/>
        </w:rPr>
      </w:pPr>
      <w:r>
        <w:rPr>
          <w:rFonts w:hint="eastAsia" w:ascii="黑体" w:eastAsia="黑体"/>
          <w:color w:val="000000"/>
          <w:sz w:val="32"/>
          <w:szCs w:val="32"/>
        </w:rPr>
        <w:t>附件：</w:t>
      </w:r>
    </w:p>
    <w:p w14:paraId="47BCE054">
      <w:pPr>
        <w:spacing w:line="520" w:lineRule="exact"/>
        <w:jc w:val="center"/>
        <w:rPr>
          <w:rFonts w:hint="eastAsia" w:ascii="宋体" w:hAnsi="宋体" w:cs="宋体"/>
          <w:b/>
          <w:kern w:val="0"/>
          <w:sz w:val="44"/>
          <w:szCs w:val="44"/>
        </w:rPr>
      </w:pPr>
      <w:r>
        <w:rPr>
          <w:rFonts w:hint="eastAsia" w:ascii="宋体" w:hAnsi="宋体" w:cs="宋体"/>
          <w:b/>
          <w:kern w:val="0"/>
          <w:sz w:val="44"/>
          <w:szCs w:val="44"/>
        </w:rPr>
        <w:t>新干县人民检察院工作报告</w:t>
      </w:r>
    </w:p>
    <w:p w14:paraId="4CB5BFFE">
      <w:pPr>
        <w:pStyle w:val="9"/>
        <w:spacing w:after="0" w:line="520" w:lineRule="exact"/>
        <w:ind w:left="0" w:leftChars="0" w:firstLine="0" w:firstLineChars="0"/>
        <w:jc w:val="center"/>
        <w:rPr>
          <w:rFonts w:hint="eastAsia" w:ascii="宋体" w:hAnsi="宋体" w:eastAsia="宋体" w:cs="宋体"/>
          <w:b/>
          <w:kern w:val="0"/>
          <w:sz w:val="44"/>
          <w:szCs w:val="44"/>
        </w:rPr>
      </w:pPr>
      <w:r>
        <w:rPr>
          <w:rFonts w:hint="eastAsia" w:ascii="宋体" w:hAnsi="宋体" w:eastAsia="宋体" w:cs="宋体"/>
          <w:b/>
          <w:kern w:val="0"/>
          <w:sz w:val="44"/>
          <w:szCs w:val="44"/>
        </w:rPr>
        <w:t>有关用语说明、案例简介及数据图表</w:t>
      </w:r>
    </w:p>
    <w:p w14:paraId="7B9B34A3">
      <w:pPr>
        <w:spacing w:line="520" w:lineRule="exact"/>
        <w:rPr>
          <w:rFonts w:hint="eastAsia"/>
        </w:rPr>
      </w:pPr>
    </w:p>
    <w:p w14:paraId="5CB5B8AF">
      <w:pPr>
        <w:keepNext w:val="0"/>
        <w:keepLines w:val="0"/>
        <w:pageBreakBefore w:val="0"/>
        <w:kinsoku/>
        <w:wordWrap/>
        <w:overflowPunct/>
        <w:topLinePunct w:val="0"/>
        <w:autoSpaceDE/>
        <w:autoSpaceDN/>
        <w:bidi w:val="0"/>
        <w:spacing w:after="156" w:afterLines="50" w:line="540" w:lineRule="exact"/>
        <w:ind w:firstLine="640" w:firstLineChars="200"/>
        <w:jc w:val="left"/>
        <w:textAlignment w:val="auto"/>
        <w:rPr>
          <w:rFonts w:hint="eastAsia" w:ascii="黑体" w:eastAsia="黑体"/>
          <w:color w:val="000000"/>
          <w:sz w:val="32"/>
          <w:szCs w:val="32"/>
        </w:rPr>
      </w:pPr>
      <w:r>
        <w:rPr>
          <w:rFonts w:hint="eastAsia" w:ascii="黑体" w:eastAsia="黑体"/>
          <w:color w:val="000000"/>
          <w:sz w:val="32"/>
          <w:szCs w:val="32"/>
        </w:rPr>
        <w:t>一、用语说明</w:t>
      </w:r>
    </w:p>
    <w:p w14:paraId="485CB0D3">
      <w:pPr>
        <w:pStyle w:val="9"/>
        <w:keepNext w:val="0"/>
        <w:keepLines w:val="0"/>
        <w:pageBreakBefore w:val="0"/>
        <w:kinsoku/>
        <w:wordWrap/>
        <w:overflowPunct/>
        <w:topLinePunct w:val="0"/>
        <w:autoSpaceDE/>
        <w:autoSpaceDN/>
        <w:bidi w:val="0"/>
        <w:adjustRightInd/>
        <w:snapToGrid/>
        <w:spacing w:after="0" w:line="560" w:lineRule="exact"/>
        <w:ind w:left="0" w:leftChars="0"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1.</w:t>
      </w:r>
      <w:r>
        <w:rPr>
          <w:rFonts w:hint="eastAsia" w:ascii="楷体" w:hAnsi="楷体" w:eastAsia="楷体" w:cs="楷体"/>
          <w:b/>
          <w:bCs/>
          <w:szCs w:val="32"/>
        </w:rPr>
        <w:t>“一乡镇一检察官”工作：</w:t>
      </w:r>
      <w:r>
        <w:rPr>
          <w:rFonts w:hint="eastAsia" w:ascii="仿宋_GB2312"/>
          <w:szCs w:val="32"/>
        </w:rPr>
        <w:t>指在全县各乡镇设立“检察联系点”，确定一名联系检察官，并在各乡镇综治中心悬挂标牌，公布联系检察官的姓名、职务、职责、联系方式。由驻点检察官主动与乡镇综治中心联系，及时了解社情民意，掌握群众呼声和检察诉求，对检察工作意见建议，每月至少一次到驻点乡镇开展联系活动，通过走访、调研、征求意见、案件回访等形式，帮助解决驻点乡镇在工作中遇到的法律问题</w:t>
      </w:r>
      <w:r>
        <w:rPr>
          <w:rFonts w:hint="eastAsia" w:ascii="仿宋_GB2312"/>
          <w:szCs w:val="32"/>
          <w:lang w:eastAsia="zh-CN"/>
        </w:rPr>
        <w:t>，</w:t>
      </w:r>
      <w:r>
        <w:rPr>
          <w:rFonts w:hint="eastAsia" w:ascii="仿宋_GB2312"/>
          <w:szCs w:val="32"/>
        </w:rPr>
        <w:t>把检察工作延伸到乡村，把涉检涉法矛盾化解在基层，消除在萌芽状态。</w:t>
      </w:r>
    </w:p>
    <w:p w14:paraId="351D7BF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仿宋_GB2312"/>
        </w:rPr>
      </w:pPr>
      <w:r>
        <w:rPr>
          <w:rFonts w:hint="eastAsia" w:ascii="楷体" w:hAnsi="楷体" w:eastAsia="楷体" w:cs="楷体"/>
          <w:b/>
          <w:bCs/>
          <w:color w:val="000000"/>
          <w:sz w:val="32"/>
          <w:szCs w:val="32"/>
          <w:lang w:val="en-US" w:eastAsia="zh-CN"/>
        </w:rPr>
        <w:t>2.</w:t>
      </w:r>
      <w:r>
        <w:rPr>
          <w:rFonts w:hint="eastAsia" w:ascii="楷体" w:hAnsi="楷体" w:eastAsia="楷体" w:cs="楷体"/>
          <w:b/>
          <w:bCs/>
          <w:color w:val="000000"/>
          <w:sz w:val="32"/>
          <w:szCs w:val="32"/>
        </w:rPr>
        <w:t>强制报告制度：</w:t>
      </w:r>
      <w:r>
        <w:rPr>
          <w:rFonts w:hint="eastAsia" w:ascii="仿宋_GB2312" w:eastAsia="仿宋_GB2312"/>
          <w:sz w:val="32"/>
          <w:szCs w:val="32"/>
        </w:rPr>
        <w:t>2020年5月，最高人民检察院与国家监委、教育部、公安部等9部门印发《关于建立侵害未成年人案件强制报告制度的意见（试行）》，规定国家机关、行使公权力的各类组织及公职人员，密切接触未成年人行业的各类组织及其从业人员，在工作中发现未成年人遭受或者疑似遭受不法侵害以及面临不法侵害危险的，应当立即向公安机关报告或举报。</w:t>
      </w:r>
    </w:p>
    <w:p w14:paraId="3D85001A">
      <w:pPr>
        <w:pStyle w:val="9"/>
        <w:keepNext w:val="0"/>
        <w:keepLines w:val="0"/>
        <w:pageBreakBefore w:val="0"/>
        <w:kinsoku/>
        <w:wordWrap/>
        <w:overflowPunct/>
        <w:topLinePunct w:val="0"/>
        <w:autoSpaceDE/>
        <w:autoSpaceDN/>
        <w:bidi w:val="0"/>
        <w:adjustRightInd/>
        <w:snapToGrid/>
        <w:spacing w:after="0" w:line="560" w:lineRule="exact"/>
        <w:ind w:left="0" w:leftChars="0" w:firstLine="643"/>
        <w:textAlignment w:val="auto"/>
        <w:rPr>
          <w:rFonts w:hint="eastAsia" w:ascii="仿宋_GB2312"/>
          <w:szCs w:val="32"/>
        </w:rPr>
      </w:pPr>
      <w:r>
        <w:rPr>
          <w:rFonts w:hint="eastAsia" w:ascii="楷体" w:hAnsi="楷体" w:eastAsia="楷体" w:cs="楷体"/>
          <w:b/>
          <w:bCs/>
          <w:color w:val="000000"/>
          <w:szCs w:val="32"/>
          <w:lang w:val="en-US" w:eastAsia="zh-CN"/>
        </w:rPr>
        <w:t>3.</w:t>
      </w:r>
      <w:r>
        <w:rPr>
          <w:rFonts w:hint="eastAsia" w:ascii="楷体" w:hAnsi="楷体" w:eastAsia="楷体" w:cs="楷体"/>
          <w:b/>
          <w:bCs/>
          <w:color w:val="000000"/>
          <w:szCs w:val="32"/>
        </w:rPr>
        <w:t>赔偿保证金提存制度：</w:t>
      </w:r>
      <w:r>
        <w:rPr>
          <w:rFonts w:hint="eastAsia" w:ascii="仿宋_GB2312"/>
          <w:szCs w:val="32"/>
        </w:rPr>
        <w:t>指轻微刑事案件犯罪嫌疑人、被告人有赔偿意愿且有赔偿能力，但因被害人或其法定代理人、近亲属诉求没有得到满足或无法与被害人家属取得联系等原因，导致未能达成和解协议，犯罪嫌疑人、被告人向办案机关提出提存申请，经办案机关决定后向公证机构办理赔偿保证金提存公证，办案机关依法对其适用非羁押强制措施、作出不起诉决定或在认罪认罚量刑建议中酌情从轻考虑。</w:t>
      </w:r>
    </w:p>
    <w:p w14:paraId="1736A53A">
      <w:pPr>
        <w:pStyle w:val="9"/>
        <w:keepNext w:val="0"/>
        <w:keepLines w:val="0"/>
        <w:pageBreakBefore w:val="0"/>
        <w:kinsoku/>
        <w:wordWrap/>
        <w:overflowPunct/>
        <w:topLinePunct w:val="0"/>
        <w:autoSpaceDE/>
        <w:autoSpaceDN/>
        <w:bidi w:val="0"/>
        <w:adjustRightInd/>
        <w:snapToGrid/>
        <w:spacing w:after="0" w:line="560" w:lineRule="exact"/>
        <w:ind w:left="0" w:leftChars="0" w:firstLine="643"/>
        <w:textAlignment w:val="auto"/>
        <w:rPr>
          <w:rFonts w:hint="eastAsia" w:ascii="黑体" w:eastAsia="黑体"/>
          <w:color w:val="000000"/>
          <w:sz w:val="32"/>
          <w:szCs w:val="32"/>
        </w:rPr>
      </w:pPr>
      <w:r>
        <w:rPr>
          <w:rFonts w:hint="eastAsia" w:ascii="楷体" w:hAnsi="楷体" w:eastAsia="楷体" w:cs="楷体"/>
          <w:b/>
          <w:bCs/>
          <w:color w:val="000000"/>
          <w:szCs w:val="32"/>
          <w:lang w:val="en-US" w:eastAsia="zh-CN"/>
        </w:rPr>
        <w:t>4.</w:t>
      </w:r>
      <w:r>
        <w:rPr>
          <w:rFonts w:hint="eastAsia" w:ascii="楷体" w:hAnsi="楷体" w:eastAsia="楷体" w:cs="楷体"/>
          <w:b/>
          <w:bCs/>
          <w:color w:val="000000"/>
          <w:szCs w:val="32"/>
        </w:rPr>
        <w:t>数字检察</w:t>
      </w:r>
      <w:r>
        <w:rPr>
          <w:rFonts w:hint="eastAsia" w:ascii="楷体" w:hAnsi="楷体" w:eastAsia="楷体" w:cs="楷体"/>
          <w:b/>
          <w:bCs/>
          <w:color w:val="000000"/>
          <w:szCs w:val="32"/>
          <w:lang w:val="en-US" w:eastAsia="zh-CN"/>
        </w:rPr>
        <w:t>监督</w:t>
      </w:r>
      <w:r>
        <w:rPr>
          <w:rFonts w:hint="eastAsia" w:ascii="楷体" w:hAnsi="楷体" w:eastAsia="楷体" w:cs="楷体"/>
          <w:b/>
          <w:bCs/>
          <w:color w:val="000000"/>
          <w:szCs w:val="32"/>
        </w:rPr>
        <w:t>：</w:t>
      </w:r>
      <w:r>
        <w:rPr>
          <w:rFonts w:hint="eastAsia" w:ascii="仿宋_GB2312"/>
          <w:szCs w:val="32"/>
        </w:rPr>
        <w:t>指检察机关通过大数据赋能发现批量监督线索，开展类案监督，并聚焦类案背后的制度机制漏洞，从个案办理到类案治理，从个别解决到普遍整改，是检察机关融入社会治理大局的重要方式。2022年1月，全国检察长（扩大）会议对检察大数据战略作出顶层部署，强调要以检察大数据战略赋能新时代检察工作高质量发展。</w:t>
      </w:r>
    </w:p>
    <w:p w14:paraId="3DC83D6C">
      <w:pPr>
        <w:keepNext w:val="0"/>
        <w:keepLines w:val="0"/>
        <w:pageBreakBefore w:val="0"/>
        <w:widowControl w:val="0"/>
        <w:kinsoku/>
        <w:wordWrap/>
        <w:overflowPunct/>
        <w:topLinePunct w:val="0"/>
        <w:autoSpaceDE/>
        <w:autoSpaceDN/>
        <w:bidi w:val="0"/>
        <w:adjustRightInd/>
        <w:snapToGrid/>
        <w:spacing w:before="313" w:beforeLines="100" w:after="156" w:afterLines="50" w:line="560" w:lineRule="exact"/>
        <w:ind w:firstLine="640" w:firstLineChars="200"/>
        <w:textAlignment w:val="auto"/>
        <w:rPr>
          <w:rFonts w:hint="default" w:ascii="仿宋_GB2312" w:hAnsi="Times New Roman" w:eastAsia="仿宋_GB2312" w:cs="Times New Roman"/>
          <w:kern w:val="0"/>
          <w:sz w:val="32"/>
          <w:szCs w:val="32"/>
          <w:lang w:val="en-US" w:eastAsia="zh-CN" w:bidi="ar-SA"/>
        </w:rPr>
      </w:pPr>
      <w:r>
        <w:rPr>
          <w:rFonts w:hint="eastAsia" w:ascii="黑体" w:eastAsia="黑体"/>
          <w:color w:val="000000"/>
          <w:sz w:val="32"/>
          <w:szCs w:val="32"/>
        </w:rPr>
        <w:t>二、案例简介</w:t>
      </w:r>
    </w:p>
    <w:p w14:paraId="42CB19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 xml:space="preserve"> </w:t>
      </w:r>
      <w:r>
        <w:rPr>
          <w:rFonts w:hint="eastAsia" w:ascii="楷体" w:hAnsi="楷体" w:eastAsia="楷体" w:cs="楷体"/>
          <w:b/>
          <w:bCs/>
          <w:color w:val="000000"/>
          <w:kern w:val="0"/>
          <w:sz w:val="32"/>
          <w:szCs w:val="32"/>
          <w:lang w:val="en-US" w:eastAsia="zh-CN"/>
        </w:rPr>
        <w:t>1</w:t>
      </w:r>
      <w:r>
        <w:rPr>
          <w:rFonts w:hint="eastAsia" w:ascii="楷体" w:hAnsi="楷体" w:eastAsia="楷体" w:cs="楷体"/>
          <w:b/>
          <w:bCs/>
          <w:color w:val="000000"/>
          <w:kern w:val="0"/>
          <w:sz w:val="32"/>
          <w:szCs w:val="32"/>
        </w:rPr>
        <w:t>.彭某某申请立案监督案：</w:t>
      </w:r>
      <w:r>
        <w:rPr>
          <w:rFonts w:hint="eastAsia" w:ascii="仿宋_GB2312" w:eastAsia="仿宋_GB2312"/>
          <w:kern w:val="0"/>
          <w:sz w:val="32"/>
          <w:szCs w:val="32"/>
        </w:rPr>
        <w:t>申诉人彭某某因不服新干县公安局202</w:t>
      </w:r>
      <w:r>
        <w:rPr>
          <w:rFonts w:ascii="仿宋_GB2312" w:eastAsia="仿宋_GB2312"/>
          <w:kern w:val="0"/>
          <w:sz w:val="32"/>
          <w:szCs w:val="32"/>
        </w:rPr>
        <w:t>3</w:t>
      </w:r>
      <w:r>
        <w:rPr>
          <w:rFonts w:hint="eastAsia" w:ascii="仿宋_GB2312" w:eastAsia="仿宋_GB2312"/>
          <w:kern w:val="0"/>
          <w:sz w:val="32"/>
          <w:szCs w:val="32"/>
        </w:rPr>
        <w:t>年</w:t>
      </w:r>
      <w:r>
        <w:rPr>
          <w:rFonts w:ascii="仿宋_GB2312" w:eastAsia="仿宋_GB2312"/>
          <w:kern w:val="0"/>
          <w:sz w:val="32"/>
          <w:szCs w:val="32"/>
        </w:rPr>
        <w:t>1</w:t>
      </w:r>
      <w:r>
        <w:rPr>
          <w:rFonts w:hint="eastAsia" w:ascii="仿宋_GB2312" w:eastAsia="仿宋_GB2312"/>
          <w:kern w:val="0"/>
          <w:sz w:val="32"/>
          <w:szCs w:val="32"/>
        </w:rPr>
        <w:t>月作出习某涉嫌过失致人死亡行为不予立案决定，向我院申请立案监督。</w:t>
      </w:r>
      <w:r>
        <w:rPr>
          <w:rFonts w:hint="eastAsia" w:ascii="仿宋_GB2312" w:eastAsia="仿宋_GB2312"/>
          <w:kern w:val="0"/>
          <w:sz w:val="32"/>
          <w:szCs w:val="32"/>
          <w:lang w:val="en-US" w:eastAsia="zh-CN"/>
        </w:rPr>
        <w:t>我院受理后</w:t>
      </w:r>
      <w:r>
        <w:rPr>
          <w:rFonts w:hint="eastAsia" w:ascii="仿宋_GB2312" w:eastAsia="仿宋_GB2312"/>
          <w:kern w:val="0"/>
          <w:sz w:val="32"/>
          <w:szCs w:val="32"/>
        </w:rPr>
        <w:t>于2月10日要求新干县公安局说明不立案理由。</w:t>
      </w:r>
      <w:r>
        <w:rPr>
          <w:rFonts w:hint="eastAsia" w:ascii="仿宋_GB2312" w:eastAsia="仿宋_GB2312"/>
          <w:kern w:val="0"/>
          <w:sz w:val="32"/>
          <w:szCs w:val="32"/>
          <w:lang w:val="en-US" w:eastAsia="zh-CN"/>
        </w:rPr>
        <w:t>同时，</w:t>
      </w:r>
      <w:r>
        <w:rPr>
          <w:rFonts w:hint="eastAsia" w:ascii="仿宋_GB2312" w:eastAsia="仿宋_GB2312"/>
          <w:kern w:val="0"/>
          <w:sz w:val="32"/>
          <w:szCs w:val="32"/>
        </w:rPr>
        <w:t>承办检察官多次前往事故现场，要求公安机关补充相关证据材料，</w:t>
      </w:r>
      <w:r>
        <w:rPr>
          <w:rFonts w:hint="eastAsia" w:ascii="仿宋_GB2312" w:eastAsia="仿宋_GB2312"/>
          <w:kern w:val="0"/>
          <w:sz w:val="32"/>
          <w:szCs w:val="32"/>
          <w:lang w:val="en-US" w:eastAsia="zh-CN"/>
        </w:rPr>
        <w:t>公安机关立案侦查后以</w:t>
      </w:r>
      <w:r>
        <w:rPr>
          <w:rFonts w:hint="eastAsia" w:ascii="仿宋_GB2312" w:eastAsia="仿宋_GB2312"/>
          <w:kern w:val="0"/>
          <w:sz w:val="32"/>
          <w:szCs w:val="32"/>
        </w:rPr>
        <w:t>习某在操作挖掘机施工作业时，疏忽大意，将邓某挤压致死，其行为涉嫌过失致人死亡罪</w:t>
      </w:r>
      <w:r>
        <w:rPr>
          <w:rFonts w:hint="eastAsia" w:ascii="仿宋_GB2312" w:eastAsia="仿宋_GB2312"/>
          <w:kern w:val="0"/>
          <w:sz w:val="32"/>
          <w:szCs w:val="32"/>
          <w:lang w:val="en-US" w:eastAsia="zh-CN"/>
        </w:rPr>
        <w:t>向我院移送审查起诉</w:t>
      </w:r>
      <w:r>
        <w:rPr>
          <w:rFonts w:hint="eastAsia" w:ascii="仿宋_GB2312" w:eastAsia="仿宋_GB2312"/>
          <w:kern w:val="0"/>
          <w:sz w:val="32"/>
          <w:szCs w:val="32"/>
        </w:rPr>
        <w:t>。</w:t>
      </w:r>
      <w:r>
        <w:rPr>
          <w:rFonts w:hint="eastAsia" w:ascii="仿宋_GB2312" w:eastAsia="仿宋_GB2312"/>
          <w:kern w:val="0"/>
          <w:sz w:val="32"/>
          <w:szCs w:val="32"/>
          <w:lang w:val="en-US" w:eastAsia="zh-CN"/>
        </w:rPr>
        <w:t>最终一审</w:t>
      </w:r>
      <w:r>
        <w:rPr>
          <w:rFonts w:hint="eastAsia" w:ascii="仿宋_GB2312" w:eastAsia="仿宋_GB2312"/>
          <w:kern w:val="0"/>
          <w:sz w:val="32"/>
          <w:szCs w:val="32"/>
        </w:rPr>
        <w:t>以过失致人死亡罪判处习某有期徒刑一年四个月，缓刑二年。</w:t>
      </w:r>
    </w:p>
    <w:p w14:paraId="3775999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kern w:val="0"/>
          <w:sz w:val="32"/>
          <w:szCs w:val="32"/>
        </w:rPr>
      </w:pPr>
      <w:r>
        <w:rPr>
          <w:rFonts w:hint="eastAsia" w:ascii="楷体" w:hAnsi="楷体" w:eastAsia="楷体" w:cs="楷体"/>
          <w:b/>
          <w:bCs/>
          <w:color w:val="000000"/>
          <w:kern w:val="0"/>
          <w:sz w:val="32"/>
          <w:szCs w:val="32"/>
          <w:lang w:val="en-US" w:eastAsia="zh-CN"/>
        </w:rPr>
        <w:t>2</w:t>
      </w:r>
      <w:r>
        <w:rPr>
          <w:rFonts w:hint="eastAsia" w:ascii="楷体" w:hAnsi="楷体" w:eastAsia="楷体" w:cs="楷体"/>
          <w:b/>
          <w:bCs/>
          <w:color w:val="000000"/>
          <w:kern w:val="0"/>
          <w:sz w:val="32"/>
          <w:szCs w:val="32"/>
        </w:rPr>
        <w:t>.廖某某等14人敲诈勒索（涉恶）案：</w:t>
      </w:r>
      <w:r>
        <w:rPr>
          <w:rFonts w:hint="eastAsia" w:ascii="仿宋_GB2312" w:eastAsia="仿宋_GB2312"/>
          <w:kern w:val="0"/>
          <w:sz w:val="32"/>
          <w:szCs w:val="32"/>
        </w:rPr>
        <w:t>廖某某等14人通过鱼泡网APP寻找作案工地,对施工方进行滋扰、纠缠、聚众哄闹等,恶意影响施工，迫使施工方支付所谓的“误工费、交通费”。在不到三个月的时间内，流窜广东、湖南、江西三个省份有组织地实施敲诈勒索犯罪活动54起,索要他人钱财共计人民币100余万元，数额特别巨大，该案为恶势力集团犯罪。为确保办案质量，我院提前介入，引导侦查。2023年9月,新干县公安局将该案移送我院审查起诉，我院成立以分管副检察长为主办检察官的专案组,与</w:t>
      </w:r>
      <w:r>
        <w:rPr>
          <w:rFonts w:hint="eastAsia" w:ascii="仿宋_GB2312" w:eastAsia="仿宋_GB2312"/>
          <w:kern w:val="0"/>
          <w:sz w:val="32"/>
          <w:szCs w:val="32"/>
          <w:lang w:val="en-US" w:eastAsia="zh-CN"/>
        </w:rPr>
        <w:t>侦查人员</w:t>
      </w:r>
      <w:r>
        <w:rPr>
          <w:rFonts w:hint="eastAsia" w:ascii="仿宋_GB2312" w:eastAsia="仿宋_GB2312"/>
          <w:kern w:val="0"/>
          <w:sz w:val="32"/>
          <w:szCs w:val="32"/>
        </w:rPr>
        <w:t>多次会商,分析研判各嫌疑人在该案中所起的作用，明确认定主从犯，</w:t>
      </w:r>
      <w:r>
        <w:rPr>
          <w:rFonts w:hint="eastAsia" w:ascii="仿宋_GB2312" w:eastAsia="仿宋_GB2312"/>
          <w:kern w:val="0"/>
          <w:sz w:val="32"/>
          <w:szCs w:val="32"/>
          <w:lang w:val="en-US" w:eastAsia="zh-CN"/>
        </w:rPr>
        <w:t>并在出庭公诉中有理有节指控犯罪，各被告人当庭认罪认罚</w:t>
      </w:r>
      <w:r>
        <w:rPr>
          <w:rFonts w:hint="eastAsia" w:ascii="仿宋_GB2312" w:eastAsia="仿宋_GB2312"/>
          <w:kern w:val="0"/>
          <w:sz w:val="32"/>
          <w:szCs w:val="32"/>
        </w:rPr>
        <w:t>。</w:t>
      </w:r>
      <w:r>
        <w:rPr>
          <w:rFonts w:hint="eastAsia" w:ascii="仿宋_GB2312" w:eastAsia="仿宋_GB2312"/>
          <w:kern w:val="0"/>
          <w:sz w:val="32"/>
          <w:szCs w:val="32"/>
          <w:lang w:val="en-US" w:eastAsia="zh-CN"/>
        </w:rPr>
        <w:t>同</w:t>
      </w:r>
      <w:r>
        <w:rPr>
          <w:rFonts w:hint="eastAsia" w:ascii="仿宋_GB2312" w:eastAsia="仿宋_GB2312"/>
          <w:kern w:val="0"/>
          <w:sz w:val="32"/>
          <w:szCs w:val="32"/>
        </w:rPr>
        <w:t>年11月30日，廖某某等人分别被判处有期徒刑三年六个月至十二年不等的刑期。</w:t>
      </w:r>
    </w:p>
    <w:p w14:paraId="43B31BA4">
      <w:pPr>
        <w:pStyle w:val="9"/>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kern w:val="0"/>
          <w:szCs w:val="32"/>
        </w:rPr>
      </w:pPr>
      <w:r>
        <w:rPr>
          <w:rFonts w:hint="eastAsia" w:ascii="楷体" w:hAnsi="楷体" w:eastAsia="楷体" w:cs="楷体"/>
          <w:b/>
          <w:bCs/>
          <w:kern w:val="0"/>
          <w:lang w:val="en-US" w:eastAsia="zh-CN"/>
        </w:rPr>
        <w:t>3</w:t>
      </w:r>
      <w:r>
        <w:rPr>
          <w:rFonts w:hint="eastAsia" w:ascii="楷体" w:hAnsi="楷体" w:eastAsia="楷体" w:cs="楷体"/>
          <w:b/>
          <w:bCs/>
          <w:kern w:val="0"/>
        </w:rPr>
        <w:t>.聂某云等九人大气环境污染刑事附带民事公益诉讼案:</w:t>
      </w:r>
      <w:r>
        <w:rPr>
          <w:rFonts w:hint="eastAsia" w:ascii="仿宋_GB2312"/>
          <w:kern w:val="0"/>
          <w:szCs w:val="32"/>
        </w:rPr>
        <w:t>2020年11月至2021年7月期间，聂某云等九人为谋取非法利益，在不具备危险废物处置资质的情况下，为提炼金属铜赚取加工费，焚烧废弃电路板1466.6吨，在焚烧过程中产生大量浓烟和刺鼻性气体，对大气环境造成严重污染。2023年3月22日，该案移送我院审查起诉。我院综合运用刑事检察和公益诉讼检察职能，向新干县人民法院提起公诉及刑事附带民事公益诉讼，做实认罪认罚和生态损害赔偿金索赔工作，最终，聂某云等九人签署认罪认罚具结书，认缴生态环境损害赔偿金67.49万元。</w:t>
      </w:r>
    </w:p>
    <w:p w14:paraId="3790A3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eastAsia="黑体"/>
          <w:color w:val="000000"/>
          <w:sz w:val="32"/>
          <w:szCs w:val="32"/>
        </w:rPr>
      </w:pPr>
      <w:r>
        <w:rPr>
          <w:rFonts w:hint="eastAsia" w:ascii="楷体" w:hAnsi="楷体" w:eastAsia="楷体" w:cs="楷体"/>
          <w:b/>
          <w:bCs/>
          <w:kern w:val="0"/>
          <w:sz w:val="32"/>
          <w:szCs w:val="28"/>
          <w:lang w:val="en-US" w:eastAsia="zh-CN"/>
        </w:rPr>
        <w:t>4</w:t>
      </w:r>
      <w:r>
        <w:rPr>
          <w:rFonts w:hint="eastAsia" w:ascii="楷体" w:hAnsi="楷体" w:eastAsia="楷体" w:cs="楷体"/>
          <w:b/>
          <w:bCs/>
          <w:kern w:val="0"/>
          <w:sz w:val="32"/>
          <w:szCs w:val="28"/>
        </w:rPr>
        <w:t>.傅某芽贪污、挪用公款、受贿案：</w:t>
      </w:r>
      <w:r>
        <w:rPr>
          <w:rFonts w:hint="eastAsia" w:ascii="仿宋_GB2312" w:hAnsi="Times New Roman" w:eastAsia="仿宋_GB2312" w:cs="Times New Roman"/>
          <w:kern w:val="0"/>
          <w:sz w:val="32"/>
          <w:szCs w:val="32"/>
          <w:lang w:val="en-US" w:eastAsia="zh-CN" w:bidi="ar-SA"/>
        </w:rPr>
        <w:t>2008年至2020年期间，被告人傅某芽利用担任新干县窑里水库管理局局长的职务便利，贪污356.3余万元，挪用公款445.38余万元，受贿30万元。该案于2023年6月12日移送我院审查起诉，检察长作为主办检察官，带领办案团队认真审阅卷宗，全面分析证据，严把案件质量关。并依法出庭支持公诉，被告人傅某芽避重就轻，指东说西，不配合庭审，但公诉人用语规范，指控有力，举证清晰，答辩充分，公诉意见释法说理充分，法理情兼容，取得了良好的效果。最终，傅某芽一审被判处有期徒刑13年，并处罚金65万元。</w:t>
      </w:r>
    </w:p>
    <w:p w14:paraId="72053392">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textAlignment w:val="auto"/>
        <w:rPr>
          <w:rFonts w:hint="eastAsia"/>
        </w:rPr>
      </w:pPr>
      <w:r>
        <w:rPr>
          <w:rFonts w:hint="eastAsia" w:ascii="黑体" w:eastAsia="黑体"/>
          <w:color w:val="000000"/>
          <w:sz w:val="32"/>
          <w:szCs w:val="32"/>
        </w:rPr>
        <w:t>三、数据图例</w:t>
      </w:r>
    </w:p>
    <w:p w14:paraId="314A61DA">
      <w:pPr>
        <w:pStyle w:val="9"/>
        <w:spacing w:after="0" w:line="240" w:lineRule="auto"/>
        <w:ind w:left="0" w:leftChars="0" w:firstLine="0" w:firstLineChars="0"/>
        <w:jc w:val="center"/>
        <w:rPr>
          <w:rFonts w:hint="eastAsia"/>
        </w:rPr>
      </w:pPr>
      <w:r>
        <w:drawing>
          <wp:inline distT="0" distB="0" distL="114300" distR="114300">
            <wp:extent cx="5622925" cy="3322320"/>
            <wp:effectExtent l="4445" t="5080" r="11430" b="101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8478365">
      <w:pPr>
        <w:pStyle w:val="9"/>
        <w:spacing w:line="240" w:lineRule="auto"/>
        <w:ind w:left="0" w:leftChars="0" w:firstLine="0" w:firstLineChars="0"/>
        <w:jc w:val="center"/>
      </w:pPr>
      <w:r>
        <w:drawing>
          <wp:inline distT="0" distB="0" distL="114300" distR="114300">
            <wp:extent cx="5284470" cy="3395345"/>
            <wp:effectExtent l="0" t="0" r="3810" b="3175"/>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6"/>
                    <a:stretch>
                      <a:fillRect/>
                    </a:stretch>
                  </pic:blipFill>
                  <pic:spPr>
                    <a:xfrm>
                      <a:off x="0" y="0"/>
                      <a:ext cx="5284470" cy="3395345"/>
                    </a:xfrm>
                    <a:prstGeom prst="rect">
                      <a:avLst/>
                    </a:prstGeom>
                    <a:noFill/>
                    <a:ln>
                      <a:noFill/>
                    </a:ln>
                  </pic:spPr>
                </pic:pic>
              </a:graphicData>
            </a:graphic>
          </wp:inline>
        </w:drawing>
      </w:r>
    </w:p>
    <w:p w14:paraId="197FE57D"/>
    <w:p w14:paraId="5D698816"/>
    <w:p w14:paraId="29330BAF">
      <w:pPr>
        <w:rPr>
          <w:rFonts w:hint="eastAsia"/>
        </w:rPr>
      </w:pPr>
    </w:p>
    <w:p w14:paraId="0FE69746">
      <w:pPr>
        <w:pStyle w:val="2"/>
        <w:ind w:firstLine="0" w:firstLineChars="0"/>
        <w:jc w:val="center"/>
      </w:pPr>
      <w:r>
        <w:drawing>
          <wp:inline distT="0" distB="0" distL="114300" distR="114300">
            <wp:extent cx="5234940" cy="3039110"/>
            <wp:effectExtent l="4445" t="4445" r="18415" b="196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009AD5">
      <w:pPr>
        <w:pStyle w:val="9"/>
        <w:spacing w:after="0" w:line="480" w:lineRule="exact"/>
        <w:ind w:left="0" w:leftChars="0" w:firstLine="0" w:firstLineChars="0"/>
        <w:jc w:val="center"/>
        <w:rPr>
          <w:rFonts w:hint="eastAsia" w:ascii="仿宋_GB2312" w:hAnsi="仿宋_GB2312" w:cs="仿宋_GB2312"/>
          <w:sz w:val="28"/>
        </w:rPr>
      </w:pPr>
      <w:r>
        <w:rPr>
          <w:rFonts w:hint="eastAsia" w:ascii="仿宋_GB2312" w:hAnsi="仿宋_GB2312" w:cs="仿宋_GB2312"/>
          <w:sz w:val="28"/>
        </w:rPr>
        <w:t>高度关注涉案困难群众，努力做到应救尽救，应救即救，</w:t>
      </w:r>
    </w:p>
    <w:p w14:paraId="1EA97035">
      <w:pPr>
        <w:pStyle w:val="9"/>
        <w:spacing w:after="0" w:line="480" w:lineRule="exact"/>
        <w:ind w:left="0" w:leftChars="0" w:firstLine="0" w:firstLineChars="0"/>
        <w:jc w:val="center"/>
        <w:rPr>
          <w:rFonts w:hint="eastAsia"/>
        </w:rPr>
      </w:pPr>
      <w:r>
        <w:rPr>
          <w:rFonts w:hint="eastAsia" w:ascii="仿宋_GB2312" w:hAnsi="仿宋_GB2312" w:cs="仿宋_GB2312"/>
          <w:sz w:val="28"/>
        </w:rPr>
        <w:t>办理司法救助案件数量及发放司法救助金额逐年上升</w:t>
      </w:r>
    </w:p>
    <w:p w14:paraId="482E2ACC">
      <w:pPr>
        <w:spacing w:line="400" w:lineRule="exact"/>
        <w:rPr>
          <w:rFonts w:hint="eastAsia" w:ascii="仿宋_GB2312" w:eastAsia="仿宋_GB2312"/>
          <w:sz w:val="28"/>
          <w:szCs w:val="28"/>
        </w:rPr>
      </w:pPr>
      <w:r>
        <w:rPr>
          <w:rFonts w:hint="eastAsia" w:ascii="仿宋_GB2312" w:eastAsia="仿宋_GB2312"/>
          <w:sz w:val="28"/>
          <w:szCs w:val="28"/>
        </w:rPr>
        <w:t xml:space="preserve"> </w:t>
      </w:r>
    </w:p>
    <w:p w14:paraId="60620B2C">
      <w:pPr>
        <w:spacing w:line="400" w:lineRule="exact"/>
        <w:rPr>
          <w:rFonts w:hint="eastAsia" w:ascii="仿宋_GB2312" w:eastAsia="仿宋_GB2312"/>
          <w:sz w:val="28"/>
          <w:szCs w:val="28"/>
        </w:rPr>
      </w:pPr>
    </w:p>
    <w:p w14:paraId="172C3C5C">
      <w:pPr>
        <w:spacing w:line="400" w:lineRule="exact"/>
        <w:rPr>
          <w:rFonts w:hint="eastAsia" w:ascii="仿宋_GB2312" w:eastAsia="仿宋_GB2312"/>
          <w:sz w:val="28"/>
          <w:szCs w:val="28"/>
        </w:rPr>
      </w:pPr>
    </w:p>
    <w:p w14:paraId="07EA61F2">
      <w:pPr>
        <w:spacing w:line="400" w:lineRule="exact"/>
        <w:rPr>
          <w:rFonts w:hint="eastAsia" w:ascii="仿宋_GB2312" w:eastAsia="仿宋_GB2312"/>
          <w:sz w:val="28"/>
          <w:szCs w:val="28"/>
        </w:rPr>
      </w:pPr>
    </w:p>
    <w:p w14:paraId="4C397744">
      <w:pPr>
        <w:spacing w:line="400" w:lineRule="exact"/>
        <w:rPr>
          <w:rFonts w:hint="eastAsia" w:ascii="仿宋_GB2312" w:eastAsia="仿宋_GB2312"/>
          <w:sz w:val="28"/>
          <w:szCs w:val="28"/>
        </w:rPr>
      </w:pPr>
    </w:p>
    <w:p w14:paraId="33ABC461">
      <w:pPr>
        <w:spacing w:line="400" w:lineRule="exact"/>
        <w:rPr>
          <w:rFonts w:hint="eastAsia" w:ascii="仿宋_GB2312" w:eastAsia="仿宋_GB2312"/>
          <w:sz w:val="28"/>
          <w:szCs w:val="28"/>
        </w:rPr>
      </w:pPr>
    </w:p>
    <w:p w14:paraId="42BABBD2">
      <w:pPr>
        <w:tabs>
          <w:tab w:val="left" w:pos="5656"/>
        </w:tabs>
        <w:spacing w:line="540" w:lineRule="exact"/>
        <w:rPr>
          <w:rFonts w:hint="eastAsia" w:ascii="仿宋_GB2312" w:eastAsia="仿宋_GB2312"/>
          <w:sz w:val="28"/>
          <w:szCs w:val="28"/>
        </w:rPr>
      </w:pPr>
      <w:r>
        <w:rPr>
          <w:rFonts w:hint="eastAsia" w:ascii="仿宋_GB2312"/>
          <w:sz w:val="28"/>
        </w:rPr>
        <w:drawing>
          <wp:anchor distT="0" distB="0" distL="114300" distR="114300" simplePos="0" relativeHeight="251659264" behindDoc="0" locked="0" layoutInCell="1" allowOverlap="1">
            <wp:simplePos x="0" y="0"/>
            <wp:positionH relativeFrom="column">
              <wp:posOffset>2143125</wp:posOffset>
            </wp:positionH>
            <wp:positionV relativeFrom="paragraph">
              <wp:posOffset>110490</wp:posOffset>
            </wp:positionV>
            <wp:extent cx="1514475" cy="1514475"/>
            <wp:effectExtent l="0" t="0" r="9525" b="9525"/>
            <wp:wrapNone/>
            <wp:docPr id="1" name="图片 2" descr="微信图片_2020050818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00508182544"/>
                    <pic:cNvPicPr>
                      <a:picLocks noChangeAspect="1"/>
                    </pic:cNvPicPr>
                  </pic:nvPicPr>
                  <pic:blipFill>
                    <a:blip r:embed="rId8"/>
                    <a:stretch>
                      <a:fillRect/>
                    </a:stretch>
                  </pic:blipFill>
                  <pic:spPr>
                    <a:xfrm>
                      <a:off x="0" y="0"/>
                      <a:ext cx="1514475" cy="1514475"/>
                    </a:xfrm>
                    <a:prstGeom prst="rect">
                      <a:avLst/>
                    </a:prstGeom>
                    <a:noFill/>
                    <a:ln>
                      <a:noFill/>
                    </a:ln>
                  </pic:spPr>
                </pic:pic>
              </a:graphicData>
            </a:graphic>
          </wp:anchor>
        </w:drawing>
      </w:r>
    </w:p>
    <w:p w14:paraId="68B5A595">
      <w:pPr>
        <w:pStyle w:val="9"/>
        <w:spacing w:after="0" w:line="540" w:lineRule="exact"/>
        <w:ind w:left="0" w:leftChars="0" w:firstLine="640"/>
        <w:rPr>
          <w:rFonts w:hint="eastAsia" w:ascii="仿宋_GB2312"/>
          <w:szCs w:val="32"/>
        </w:rPr>
      </w:pPr>
    </w:p>
    <w:p w14:paraId="58E1BC10">
      <w:pPr>
        <w:pStyle w:val="9"/>
        <w:spacing w:after="0" w:line="540" w:lineRule="exact"/>
        <w:ind w:left="0" w:leftChars="0" w:firstLine="0" w:firstLineChars="0"/>
        <w:jc w:val="center"/>
        <w:rPr>
          <w:rFonts w:hint="eastAsia"/>
        </w:rPr>
      </w:pPr>
    </w:p>
    <w:p w14:paraId="2E07EB72">
      <w:pPr>
        <w:pStyle w:val="9"/>
        <w:spacing w:after="0" w:line="540" w:lineRule="exact"/>
        <w:ind w:left="0" w:leftChars="0" w:firstLine="640"/>
        <w:jc w:val="center"/>
        <w:rPr>
          <w:rFonts w:hint="eastAsia"/>
        </w:rPr>
      </w:pPr>
    </w:p>
    <w:p w14:paraId="552D6D52">
      <w:pPr>
        <w:pStyle w:val="9"/>
        <w:ind w:left="0" w:leftChars="0" w:firstLine="0" w:firstLineChars="0"/>
        <w:rPr>
          <w:rFonts w:hint="eastAsia"/>
        </w:rPr>
      </w:pPr>
    </w:p>
    <w:p w14:paraId="7A9F14C3">
      <w:pPr>
        <w:pStyle w:val="9"/>
        <w:spacing w:after="0" w:line="540" w:lineRule="exact"/>
        <w:ind w:left="0" w:leftChars="0" w:firstLine="0" w:firstLineChars="0"/>
        <w:jc w:val="center"/>
        <w:rPr>
          <w:rFonts w:hint="eastAsia" w:ascii="仿宋_GB2312"/>
          <w:szCs w:val="32"/>
        </w:rPr>
      </w:pPr>
      <w:r>
        <w:rPr>
          <w:rFonts w:hint="eastAsia" w:ascii="仿宋_GB2312"/>
          <w:szCs w:val="32"/>
        </w:rPr>
        <w:t>新干县人民检察院微信公众号</w:t>
      </w:r>
    </w:p>
    <w:p w14:paraId="65C3004F">
      <w:pPr>
        <w:pStyle w:val="9"/>
        <w:spacing w:after="0" w:line="540" w:lineRule="exact"/>
        <w:ind w:left="0" w:leftChars="0" w:firstLine="0" w:firstLineChars="0"/>
        <w:jc w:val="center"/>
        <w:rPr>
          <w:rFonts w:hint="eastAsia" w:ascii="仿宋_GB2312"/>
          <w:szCs w:val="32"/>
        </w:rPr>
      </w:pPr>
      <w:r>
        <w:rPr>
          <w:rFonts w:hint="eastAsia" w:ascii="仿宋_GB2312"/>
          <w:szCs w:val="32"/>
        </w:rPr>
        <w:t>Jaxgjcy</w:t>
      </w:r>
    </w:p>
    <w:p w14:paraId="150AFBDA">
      <w:pPr>
        <w:pStyle w:val="9"/>
        <w:ind w:left="0" w:leftChars="0" w:firstLine="0" w:firstLineChars="0"/>
        <w:rPr>
          <w:rFonts w:hint="eastAsia"/>
        </w:rPr>
      </w:pPr>
    </w:p>
    <w:p w14:paraId="1E960F04">
      <w:pPr>
        <w:rPr>
          <w:rFonts w:hint="eastAsia"/>
        </w:rPr>
      </w:pPr>
    </w:p>
    <w:p w14:paraId="3FE1386C">
      <w:pPr>
        <w:rPr>
          <w:rFonts w:hint="eastAsia"/>
        </w:rPr>
      </w:pPr>
    </w:p>
    <w:p w14:paraId="74DC4E4C">
      <w:pPr>
        <w:rPr>
          <w:rFonts w:hint="eastAsia"/>
        </w:rPr>
      </w:pPr>
    </w:p>
    <w:p w14:paraId="015E132E">
      <w:pPr>
        <w:rPr>
          <w:rFonts w:hint="eastAsia"/>
        </w:rPr>
      </w:pPr>
    </w:p>
    <w:p w14:paraId="3689202D">
      <w:pPr>
        <w:rPr>
          <w:rFonts w:hint="eastAsia"/>
        </w:rPr>
      </w:pPr>
    </w:p>
    <w:p w14:paraId="4820C195">
      <w:pPr>
        <w:rPr>
          <w:rFonts w:hint="eastAsia"/>
        </w:rPr>
      </w:pPr>
    </w:p>
    <w:p w14:paraId="0E4E61DC">
      <w:pPr>
        <w:rPr>
          <w:rFonts w:hint="eastAsia"/>
        </w:rPr>
      </w:pPr>
    </w:p>
    <w:p w14:paraId="12CBEE28">
      <w:pPr>
        <w:rPr>
          <w:rFonts w:hint="eastAsia"/>
        </w:rPr>
      </w:pPr>
    </w:p>
    <w:p w14:paraId="08CEBC78">
      <w:pPr>
        <w:rPr>
          <w:rFonts w:hint="eastAsia"/>
        </w:rPr>
      </w:pPr>
    </w:p>
    <w:p w14:paraId="4E177CC6">
      <w:pPr>
        <w:rPr>
          <w:rFonts w:hint="eastAsia"/>
        </w:rPr>
      </w:pPr>
    </w:p>
    <w:p w14:paraId="710D1872">
      <w:pPr>
        <w:rPr>
          <w:rFonts w:hint="eastAsia"/>
        </w:rPr>
      </w:pPr>
    </w:p>
    <w:p w14:paraId="707729A4">
      <w:pPr>
        <w:rPr>
          <w:rFonts w:hint="eastAsia"/>
        </w:rPr>
      </w:pPr>
    </w:p>
    <w:p w14:paraId="41C50720">
      <w:pPr>
        <w:rPr>
          <w:rFonts w:hint="eastAsia"/>
        </w:rPr>
      </w:pPr>
    </w:p>
    <w:p w14:paraId="58C31332">
      <w:pPr>
        <w:rPr>
          <w:rFonts w:hint="eastAsia"/>
        </w:rPr>
      </w:pPr>
    </w:p>
    <w:p w14:paraId="1E86DD8E">
      <w:pPr>
        <w:rPr>
          <w:rFonts w:hint="eastAsia"/>
        </w:rPr>
      </w:pPr>
    </w:p>
    <w:p w14:paraId="095CFDB0">
      <w:pPr>
        <w:rPr>
          <w:rFonts w:hint="eastAsia"/>
        </w:rPr>
      </w:pPr>
    </w:p>
    <w:p w14:paraId="5E708924">
      <w:pPr>
        <w:rPr>
          <w:rFonts w:hint="eastAsia"/>
        </w:rPr>
      </w:pPr>
    </w:p>
    <w:tbl>
      <w:tblPr>
        <w:tblStyle w:val="10"/>
        <w:tblpPr w:leftFromText="180" w:rightFromText="180" w:vertAnchor="text" w:horzAnchor="page" w:tblpX="1345" w:tblpY="595"/>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469"/>
      </w:tblGrid>
      <w:tr w14:paraId="12CA5BF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trPr>
        <w:tc>
          <w:tcPr>
            <w:tcW w:w="9469" w:type="dxa"/>
            <w:noWrap w:val="0"/>
            <w:vAlign w:val="center"/>
          </w:tcPr>
          <w:p w14:paraId="7FFB443C">
            <w:pPr>
              <w:jc w:val="center"/>
              <w:rPr>
                <w:rFonts w:hint="eastAsia"/>
              </w:rPr>
            </w:pPr>
            <w:r>
              <w:rPr>
                <w:rFonts w:hint="eastAsia" w:ascii="仿宋_GB2312" w:eastAsia="仿宋_GB2312"/>
                <w:sz w:val="28"/>
                <w:szCs w:val="28"/>
              </w:rPr>
              <w:t xml:space="preserve">县十八届人大四次会议秘书处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2024年2月</w:t>
            </w:r>
            <w:r>
              <w:rPr>
                <w:rFonts w:hint="eastAsia" w:ascii="仿宋_GB2312" w:eastAsia="仿宋_GB2312"/>
                <w:sz w:val="28"/>
                <w:szCs w:val="28"/>
                <w:lang w:val="en-US" w:eastAsia="zh-CN"/>
              </w:rPr>
              <w:t>19</w:t>
            </w:r>
            <w:r>
              <w:rPr>
                <w:rFonts w:hint="eastAsia" w:ascii="仿宋_GB2312" w:eastAsia="仿宋_GB2312"/>
                <w:sz w:val="28"/>
                <w:szCs w:val="28"/>
              </w:rPr>
              <w:t>日印</w:t>
            </w:r>
          </w:p>
        </w:tc>
      </w:tr>
    </w:tbl>
    <w:p w14:paraId="7487045F">
      <w:pPr>
        <w:rPr>
          <w:rFonts w:hint="eastAsia"/>
        </w:rPr>
      </w:pPr>
    </w:p>
    <w:p w14:paraId="310436F0"/>
    <w:sectPr>
      <w:footerReference r:id="rId3" w:type="default"/>
      <w:pgSz w:w="11907" w:h="16840" w:orient="landscape"/>
      <w:pgMar w:top="1797" w:right="1327" w:bottom="1797" w:left="132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寰蒋闆呴粦">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BCCA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6235F0">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r>
                            <w:rPr>
                              <w:rFonts w:hint="eastAsia"/>
                              <w:sz w:val="1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6235F0">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r>
                      <w:rPr>
                        <w:rFonts w:hint="eastAsia"/>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WE4NjY5NjZmMzY4YWVjNDdmNDg1Zjg2ZjM5NjEifQ=="/>
  </w:docVars>
  <w:rsids>
    <w:rsidRoot w:val="6F3C75F0"/>
    <w:rsid w:val="2D062258"/>
    <w:rsid w:val="35B43ECC"/>
    <w:rsid w:val="6F3C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basedOn w:val="1"/>
    <w:next w:val="4"/>
    <w:qFormat/>
    <w:uiPriority w:val="0"/>
  </w:style>
  <w:style w:type="paragraph" w:styleId="4">
    <w:name w:val="Plain Text"/>
    <w:basedOn w:val="1"/>
    <w:qFormat/>
    <w:uiPriority w:val="0"/>
    <w:rPr>
      <w:rFonts w:ascii="宋体" w:hAnsi="Courier New" w:cs="Courier New"/>
      <w:szCs w:val="21"/>
    </w:rPr>
  </w:style>
  <w:style w:type="paragraph" w:styleId="5">
    <w:name w:val="Body Text Indent"/>
    <w:basedOn w:val="1"/>
    <w:next w:val="6"/>
    <w:qFormat/>
    <w:uiPriority w:val="0"/>
    <w:pPr>
      <w:spacing w:line="600" w:lineRule="exact"/>
      <w:ind w:firstLine="640" w:firstLineChars="200"/>
    </w:pPr>
    <w:rPr>
      <w:rFonts w:eastAsia="仿宋_GB2312"/>
      <w:sz w:val="32"/>
      <w:szCs w:val="28"/>
    </w:rPr>
  </w:style>
  <w:style w:type="paragraph" w:styleId="6">
    <w:name w:val="Body Text First Indent"/>
    <w:basedOn w:val="3"/>
    <w:qFormat/>
    <w:uiPriority w:val="0"/>
    <w:pPr>
      <w:ind w:firstLine="420" w:firstLineChars="1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spacing w:after="120" w:afterLines="0"/>
      <w:ind w:left="200" w:leftChars="200" w:firstLine="420" w:firstLineChars="200"/>
    </w:pPr>
    <w:rPr>
      <w:rFonts w:ascii="Times New Roman"/>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chart" Target="charts/chart2.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Administrator\Desktop\2024&#2418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rPr lang="en-US" altLang="zh-CN"/>
              <a:t>2023</a:t>
            </a:r>
            <a:r>
              <a:rPr altLang="en-US"/>
              <a:t>年各类案件分布情况</a:t>
            </a:r>
            <a:endParaRPr altLang="en-US"/>
          </a:p>
        </c:rich>
      </c:tx>
      <c:layout>
        <c:manualLayout>
          <c:xMode val="edge"/>
          <c:yMode val="edge"/>
          <c:x val="0.305101373446697"/>
          <c:y val="0.00675675675675676"/>
        </c:manualLayout>
      </c:layout>
      <c:overlay val="0"/>
      <c:spPr>
        <a:noFill/>
        <a:ln>
          <a:noFill/>
        </a:ln>
        <a:effectLst/>
      </c:spPr>
    </c:title>
    <c:autoTitleDeleted val="0"/>
    <c:plotArea>
      <c:layout/>
      <c:pieChart>
        <c:varyColors val="1"/>
        <c:ser>
          <c:idx val="0"/>
          <c:order val="0"/>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Pt>
            <c:idx val="3"/>
            <c:bubble3D val="0"/>
            <c:spPr>
              <a:solidFill>
                <a:srgbClr val="8064A2"/>
              </a:solidFill>
              <a:ln>
                <a:solidFill>
                  <a:srgbClr val="FFFFFF"/>
                </a:solidFill>
              </a:ln>
              <a:effectLst/>
            </c:spPr>
          </c:dPt>
          <c:dPt>
            <c:idx val="4"/>
            <c:bubble3D val="0"/>
            <c:spPr>
              <a:solidFill>
                <a:srgbClr val="4BACC6"/>
              </a:solidFill>
              <a:ln>
                <a:solidFill>
                  <a:srgbClr val="FFFFFF"/>
                </a:solidFill>
              </a:ln>
              <a:effectLst/>
            </c:spPr>
          </c:dPt>
          <c:dPt>
            <c:idx val="5"/>
            <c:bubble3D val="0"/>
            <c:spPr>
              <a:solidFill>
                <a:srgbClr val="F79646"/>
              </a:solidFill>
              <a:ln>
                <a:solidFill>
                  <a:srgbClr val="FFFFFF"/>
                </a:solidFill>
              </a:ln>
              <a:effectLst/>
            </c:spPr>
          </c:dPt>
          <c:dLbls>
            <c:dLbl>
              <c:idx val="0"/>
              <c:layout>
                <c:manualLayout>
                  <c:x val="0.0816039254660089"/>
                  <c:y val="-0.14978466087665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263861008001612"/>
                  <c:y val="0.18360881325320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09352517985612"/>
                      <c:h val="0.0646396396396396"/>
                    </c:manualLayout>
                  </c15:layout>
                </c:ext>
              </c:extLst>
            </c:dLbl>
            <c:dLbl>
              <c:idx val="2"/>
              <c:layout>
                <c:manualLayout>
                  <c:x val="-0.0299463050219254"/>
                  <c:y val="0.156087306511927"/>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8541530412034"/>
                      <c:h val="0.0673423423423423"/>
                    </c:manualLayout>
                  </c15:layout>
                </c:ext>
              </c:extLst>
            </c:dLbl>
            <c:dLbl>
              <c:idx val="3"/>
              <c:layout>
                <c:manualLayout>
                  <c:x val="-0.0528072698979778"/>
                  <c:y val="0.104786558828791"/>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73381294964029"/>
                      <c:h val="0.0707207207207207"/>
                    </c:manualLayout>
                  </c15:layout>
                </c:ext>
              </c:extLst>
            </c:dLbl>
            <c:dLbl>
              <c:idx val="4"/>
              <c:layout>
                <c:manualLayout>
                  <c:x val="-0.0717946853868343"/>
                  <c:y val="0.083576357585343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4865925441465"/>
                      <c:h val="0.0619369369369369"/>
                    </c:manualLayout>
                  </c15:layout>
                </c:ext>
              </c:extLst>
            </c:dLbl>
            <c:dLbl>
              <c:idx val="5"/>
              <c:layout>
                <c:manualLayout>
                  <c:x val="-0.234573476945929"/>
                  <c:y val="0.0778639689668728"/>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41988227599738"/>
                      <c:h val="0.078603603603603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1"/>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[2024年图表.xlsx]Sheet2!$A$1:$F$1</c:f>
              <c:strCache>
                <c:ptCount val="6"/>
                <c:pt idx="0">
                  <c:v>刑事案件</c:v>
                </c:pt>
                <c:pt idx="1">
                  <c:v>民事检察类案件</c:v>
                </c:pt>
                <c:pt idx="2">
                  <c:v>行政检察类案件</c:v>
                </c:pt>
                <c:pt idx="3">
                  <c:v>公益诉讼案件</c:v>
                </c:pt>
                <c:pt idx="4">
                  <c:v>控告申诉类案件</c:v>
                </c:pt>
                <c:pt idx="5">
                  <c:v>其他案件</c:v>
                </c:pt>
              </c:strCache>
            </c:strRef>
          </c:cat>
          <c:val>
            <c:numRef>
              <c:f>[2024年图表.xlsx]Sheet2!$A$2:$F$2</c:f>
              <c:numCache>
                <c:formatCode>General</c:formatCode>
                <c:ptCount val="6"/>
                <c:pt idx="0">
                  <c:v>754</c:v>
                </c:pt>
                <c:pt idx="1">
                  <c:v>56</c:v>
                </c:pt>
                <c:pt idx="2">
                  <c:v>12</c:v>
                </c:pt>
                <c:pt idx="3">
                  <c:v>54</c:v>
                </c:pt>
                <c:pt idx="4">
                  <c:v>54</c:v>
                </c:pt>
                <c:pt idx="5">
                  <c:v>177</c:v>
                </c:pt>
              </c:numCache>
            </c:numRef>
          </c:val>
        </c:ser>
        <c:dLbls>
          <c:showLegendKey val="1"/>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383257030739045"/>
          <c:y val="0.128828828828829"/>
          <c:w val="0.94597776324395"/>
          <c:h val="0.10653153153153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6e5c129c-c5c3-4a28-8c75-05c9a14114c9}"/>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rPr lang="en-US" altLang="zh-CN"/>
              <a:t>2021</a:t>
            </a:r>
            <a:r>
              <a:rPr altLang="en-US"/>
              <a:t>年</a:t>
            </a:r>
            <a:r>
              <a:rPr lang="en-US" altLang="zh-CN"/>
              <a:t>-2023</a:t>
            </a:r>
            <a:r>
              <a:rPr altLang="en-US"/>
              <a:t>年办理司法救助案件情况</a:t>
            </a:r>
            <a:endParaRPr altLang="en-US"/>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办理司法救助案件数</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numRef>
              <c:f>[工作簿1]Sheet1!$B$1:$D$1</c:f>
              <c:numCache>
                <c:formatCode>General</c:formatCode>
                <c:ptCount val="3"/>
                <c:pt idx="0">
                  <c:v>2021</c:v>
                </c:pt>
                <c:pt idx="1">
                  <c:v>2022</c:v>
                </c:pt>
                <c:pt idx="2">
                  <c:v>2023</c:v>
                </c:pt>
              </c:numCache>
            </c:numRef>
          </c:cat>
          <c:val>
            <c:numRef>
              <c:f>[工作簿1]Sheet1!$B$2:$D$2</c:f>
              <c:numCache>
                <c:formatCode>General</c:formatCode>
                <c:ptCount val="3"/>
                <c:pt idx="0">
                  <c:v>16</c:v>
                </c:pt>
                <c:pt idx="1">
                  <c:v>43</c:v>
                </c:pt>
                <c:pt idx="2">
                  <c:v>54</c:v>
                </c:pt>
              </c:numCache>
            </c:numRef>
          </c:val>
        </c:ser>
        <c:ser>
          <c:idx val="1"/>
          <c:order val="1"/>
          <c:tx>
            <c:strRef>
              <c:f>[工作簿1]Sheet1!$A$3</c:f>
              <c:strCache>
                <c:ptCount val="1"/>
                <c:pt idx="0">
                  <c:v>发放司法救助金金额（单位：万元）</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numRef>
              <c:f>[工作簿1]Sheet1!$B$1:$D$1</c:f>
              <c:numCache>
                <c:formatCode>General</c:formatCode>
                <c:ptCount val="3"/>
                <c:pt idx="0">
                  <c:v>2021</c:v>
                </c:pt>
                <c:pt idx="1">
                  <c:v>2022</c:v>
                </c:pt>
                <c:pt idx="2">
                  <c:v>2023</c:v>
                </c:pt>
              </c:numCache>
            </c:numRef>
          </c:cat>
          <c:val>
            <c:numRef>
              <c:f>[工作簿1]Sheet1!$B$3:$D$3</c:f>
              <c:numCache>
                <c:formatCode>General</c:formatCode>
                <c:ptCount val="3"/>
                <c:pt idx="0">
                  <c:v>23.4</c:v>
                </c:pt>
                <c:pt idx="1">
                  <c:v>60.14</c:v>
                </c:pt>
                <c:pt idx="2">
                  <c:v>69.91</c:v>
                </c:pt>
              </c:numCache>
            </c:numRef>
          </c:val>
        </c:ser>
        <c:dLbls>
          <c:showLegendKey val="0"/>
          <c:showVal val="1"/>
          <c:showCatName val="0"/>
          <c:showSerName val="0"/>
          <c:showPercent val="0"/>
          <c:showBubbleSize val="0"/>
        </c:dLbls>
        <c:gapWidth val="246"/>
        <c:overlap val="-28"/>
        <c:axId val="923910925"/>
        <c:axId val="88297047"/>
      </c:barChart>
      <c:catAx>
        <c:axId val="923910925"/>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8297047"/>
        <c:crosses val="autoZero"/>
        <c:auto val="1"/>
        <c:lblAlgn val="ctr"/>
        <c:lblOffset val="100"/>
        <c:noMultiLvlLbl val="0"/>
      </c:catAx>
      <c:valAx>
        <c:axId val="88297047"/>
        <c:scaling>
          <c:orientation val="minMax"/>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23910925"/>
        <c:crosses val="autoZero"/>
        <c:crossBetween val="between"/>
      </c:valAx>
      <c:spPr>
        <a:noFill/>
        <a:ln>
          <a:noFill/>
        </a:ln>
        <a:effectLst/>
      </c:spPr>
    </c:plotArea>
    <c:legend>
      <c:legendPos val="b"/>
      <c:layout>
        <c:manualLayout>
          <c:xMode val="edge"/>
          <c:yMode val="edge"/>
          <c:x val="0.1475"/>
          <c:y val="0.887731481481482"/>
          <c:w val="0.729473684210526"/>
          <c:h val="0.07986111111111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3c6ad2e8-6595-48a8-9e5c-aa8f70da4382}"/>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7429</Words>
  <Characters>7614</Characters>
  <Lines>0</Lines>
  <Paragraphs>0</Paragraphs>
  <TotalTime>2</TotalTime>
  <ScaleCrop>false</ScaleCrop>
  <LinksUpToDate>false</LinksUpToDate>
  <CharactersWithSpaces>7652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2024-09-11T06:56:00Z</dcterms:created>
  <dc:creator>清汤不加汤</dc:creator>
  <cp:lastModifiedBy>清汤不加汤</cp:lastModifiedBy>
  <dcterms:modified xsi:type="dcterms:W3CDTF">2025-04-09T08:14:38Z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34A26E20952E4999A6119F090E0381A8_11</vt:lpwstr>
  </property>
  <property fmtid="{D5CDD505-2E9C-101B-9397-08002B2CF9AE}" pid="4" name="KSOTemplateDocerSaveRecord">
    <vt:lpwstr>eyJoZGlkIjoiNWQwNDc5NDkyNDQ3M2Q3YzYxNTczZDM0NmNlZWJlY2QiLCJ1c2VySWQiOiI2MjY0NTM4NzMifQ==</vt:lpwstr>
  </property>
</Properties>
</file>